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8E" w:rsidRDefault="000F56F4" w:rsidP="00B0430B">
      <w:pPr>
        <w:pStyle w:val="Smal"/>
        <w:sectPr w:rsidR="00F9748E" w:rsidSect="00327CB0">
          <w:headerReference w:type="default" r:id="rId9"/>
          <w:footerReference w:type="default" r:id="rId10"/>
          <w:type w:val="continuous"/>
          <w:pgSz w:w="11906" w:h="16838" w:code="9"/>
          <w:pgMar w:top="567" w:right="2268" w:bottom="1985" w:left="2268" w:header="567" w:footer="567" w:gutter="0"/>
          <w:cols w:space="720"/>
          <w:formProt w:val="0"/>
        </w:sectPr>
      </w:pPr>
      <w:r>
        <w:rPr>
          <w:noProof/>
        </w:rPr>
        <w:drawing>
          <wp:anchor distT="0" distB="0" distL="114300" distR="114300" simplePos="0" relativeHeight="251657728" behindDoc="0" locked="1" layoutInCell="1" allowOverlap="1">
            <wp:simplePos x="0" y="0"/>
            <wp:positionH relativeFrom="page">
              <wp:posOffset>359410</wp:posOffset>
            </wp:positionH>
            <wp:positionV relativeFrom="page">
              <wp:posOffset>287655</wp:posOffset>
            </wp:positionV>
            <wp:extent cx="2531110" cy="724535"/>
            <wp:effectExtent l="0" t="0" r="2540" b="0"/>
            <wp:wrapNone/>
            <wp:docPr id="64" name="Bild 64" descr="MSB_logotyp_svart_l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MSB_logotyp_svart_la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111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162DC3">
        <w:t xml:space="preserve"> </w:t>
      </w:r>
    </w:p>
    <w:p w:rsidR="00F9748E" w:rsidRPr="00F9748E" w:rsidRDefault="00F9748E" w:rsidP="00B0430B">
      <w:pPr>
        <w:pStyle w:val="Smal"/>
      </w:pPr>
    </w:p>
    <w:p w:rsidR="00731DEA" w:rsidRDefault="00731DEA" w:rsidP="00554B8B">
      <w:pPr>
        <w:pStyle w:val="Rubrik1"/>
      </w:pPr>
      <w:bookmarkStart w:id="3" w:name="HandlUppg"/>
      <w:bookmarkEnd w:id="3"/>
      <w:r>
        <w:t>Sevesolagstiftningen - Vem omfattas?</w:t>
      </w:r>
    </w:p>
    <w:p w:rsidR="00731DEA" w:rsidRPr="00731DEA" w:rsidRDefault="00731DEA" w:rsidP="00731DEA">
      <w:pPr>
        <w:pStyle w:val="Brdtext"/>
      </w:pPr>
    </w:p>
    <w:p w:rsidR="005953B1" w:rsidRDefault="00BC06A7" w:rsidP="006F47CB">
      <w:pPr>
        <w:pStyle w:val="Rubrik2"/>
      </w:pPr>
      <w:r>
        <w:fldChar w:fldCharType="begin"/>
      </w:r>
      <w:r>
        <w:instrText xml:space="preserve"> MACROBUTTON Rubrik </w:instrText>
      </w:r>
      <w:r>
        <w:fldChar w:fldCharType="end"/>
      </w:r>
      <w:r>
        <w:fldChar w:fldCharType="begin"/>
      </w:r>
      <w:r>
        <w:instrText xml:space="preserve"> MACROBUTTON  Rubrik </w:instrText>
      </w:r>
      <w:r>
        <w:fldChar w:fldCharType="end"/>
      </w:r>
      <w:r w:rsidR="006F47CB">
        <w:t>Inledning</w:t>
      </w:r>
    </w:p>
    <w:p w:rsidR="00C876BE" w:rsidRDefault="00731DEA" w:rsidP="00C876BE">
      <w:pPr>
        <w:pStyle w:val="Brdtext"/>
      </w:pPr>
      <w:r>
        <w:t>Sevesolagstiftningen</w:t>
      </w:r>
      <w:r w:rsidR="00C876BE">
        <w:t xml:space="preserve"> tillämpas på verksamheter där farliga ämnen vid ett och samma tillfälle förekommer eller kan förekomma i vissa mängder.</w:t>
      </w:r>
    </w:p>
    <w:p w:rsidR="00C876BE" w:rsidRDefault="00C6383C" w:rsidP="00C876BE">
      <w:pPr>
        <w:pStyle w:val="Brdtext"/>
      </w:pPr>
      <w:r>
        <w:t>I bilag</w:t>
      </w:r>
      <w:r w:rsidR="00367E3A">
        <w:t>a</w:t>
      </w:r>
      <w:r>
        <w:t xml:space="preserve"> 1</w:t>
      </w:r>
      <w:r w:rsidR="00C876BE">
        <w:t xml:space="preserve"> till förordningen (SFS 2015:236) om åtgärder för att förebygga och begränsa följderna</w:t>
      </w:r>
      <w:r w:rsidR="00244F79">
        <w:t xml:space="preserve"> av allvarliga kemikalieolyckor </w:t>
      </w:r>
      <w:r w:rsidR="00C876BE">
        <w:t>finns dessa farliga ämnen förtecknade.</w:t>
      </w:r>
    </w:p>
    <w:p w:rsidR="00C876BE" w:rsidRDefault="00C876BE" w:rsidP="00C876BE">
      <w:pPr>
        <w:pStyle w:val="Brdtext"/>
      </w:pPr>
      <w:r>
        <w:t>I korthet kan man säga att reglerna berör den som har tillräckligt mycket av ett ämne som är tillräckligt farligt.</w:t>
      </w:r>
    </w:p>
    <w:p w:rsidR="00C6383C" w:rsidRPr="00820D0F" w:rsidRDefault="00C6383C" w:rsidP="006F47CB">
      <w:pPr>
        <w:pStyle w:val="Rubrik3"/>
        <w:rPr>
          <w:color w:val="FF0000"/>
        </w:rPr>
      </w:pPr>
      <w:r>
        <w:t>Kravn</w:t>
      </w:r>
      <w:r w:rsidR="00C0740F">
        <w:t>ivåer, g</w:t>
      </w:r>
      <w:r>
        <w:t>ränsmängde</w:t>
      </w:r>
      <w:r w:rsidR="00820D0F">
        <w:t xml:space="preserve">r och </w:t>
      </w:r>
      <w:r w:rsidR="00820D0F" w:rsidRPr="0025253E">
        <w:t>ytterligare information</w:t>
      </w:r>
    </w:p>
    <w:p w:rsidR="00C6383C" w:rsidRPr="0025253E" w:rsidRDefault="00367E3A" w:rsidP="00C6383C">
      <w:pPr>
        <w:pStyle w:val="Brdtext"/>
      </w:pPr>
      <w:r>
        <w:t>Det finns en högre och en lägre k</w:t>
      </w:r>
      <w:r w:rsidR="00182658">
        <w:t>ravnivå för verksamheter som om</w:t>
      </w:r>
      <w:r>
        <w:t>fattas av Sevesolagstiftningen. Gränsmängderna definierar kravnivåerna. Förutom gränsmängderna finns i bi</w:t>
      </w:r>
      <w:r w:rsidR="00182658">
        <w:t xml:space="preserve">laga 1 till förordningen också </w:t>
      </w:r>
      <w:r w:rsidR="00182658" w:rsidRPr="0025253E">
        <w:t>en del ytterligare information</w:t>
      </w:r>
      <w:r w:rsidRPr="0025253E">
        <w:t xml:space="preserve"> som ange</w:t>
      </w:r>
      <w:r w:rsidR="00182658" w:rsidRPr="0025253E">
        <w:t>r hur bilagan tillämpas.</w:t>
      </w:r>
      <w:r w:rsidR="00E76B18" w:rsidRPr="0025253E">
        <w:t xml:space="preserve"> </w:t>
      </w:r>
      <w:r w:rsidR="00C7064A">
        <w:t>I</w:t>
      </w:r>
      <w:r w:rsidR="00182658" w:rsidRPr="0025253E">
        <w:t xml:space="preserve">nformationen </w:t>
      </w:r>
      <w:r w:rsidR="00C7064A">
        <w:t>finns på olika ställen</w:t>
      </w:r>
      <w:r w:rsidR="00182658" w:rsidRPr="0025253E">
        <w:t xml:space="preserve">. En del ligger i ett antal inledande punkter, en del </w:t>
      </w:r>
      <w:r w:rsidR="00C7064A">
        <w:t>ligger i</w:t>
      </w:r>
      <w:r w:rsidRPr="0025253E">
        <w:t xml:space="preserve"> tabellerna med gränsmängder</w:t>
      </w:r>
      <w:r w:rsidR="00182658" w:rsidRPr="0025253E">
        <w:t xml:space="preserve"> </w:t>
      </w:r>
      <w:r w:rsidR="008B5217" w:rsidRPr="0025253E">
        <w:t>och en del ligger i de</w:t>
      </w:r>
      <w:r w:rsidR="00182658" w:rsidRPr="0025253E">
        <w:t xml:space="preserve"> anmärkningar</w:t>
      </w:r>
      <w:r w:rsidR="008B5217" w:rsidRPr="0025253E">
        <w:t xml:space="preserve"> som finns</w:t>
      </w:r>
      <w:r w:rsidR="00182658" w:rsidRPr="0025253E">
        <w:t xml:space="preserve"> efter </w:t>
      </w:r>
      <w:r w:rsidR="008B5217" w:rsidRPr="0025253E">
        <w:t>var och en av de två</w:t>
      </w:r>
      <w:r w:rsidR="00182658" w:rsidRPr="0025253E">
        <w:t xml:space="preserve"> del</w:t>
      </w:r>
      <w:r w:rsidR="008B5217" w:rsidRPr="0025253E">
        <w:t>arna</w:t>
      </w:r>
      <w:r w:rsidR="00182658" w:rsidRPr="0025253E">
        <w:t xml:space="preserve"> i bilaga 1</w:t>
      </w:r>
      <w:r w:rsidRPr="0025253E">
        <w:t>.</w:t>
      </w:r>
      <w:r w:rsidR="00993C9B" w:rsidRPr="0025253E">
        <w:t xml:space="preserve"> </w:t>
      </w:r>
    </w:p>
    <w:p w:rsidR="001649D1" w:rsidRDefault="00951FF1" w:rsidP="006F47CB">
      <w:pPr>
        <w:pStyle w:val="Rubrik3"/>
      </w:pPr>
      <w:r w:rsidRPr="0025253E">
        <w:t>Avsnitt,</w:t>
      </w:r>
      <w:r w:rsidR="00C7064A">
        <w:t xml:space="preserve"> </w:t>
      </w:r>
      <w:r w:rsidR="00D83A3B" w:rsidRPr="0025253E">
        <w:t>poster,</w:t>
      </w:r>
      <w:r w:rsidR="00C0740F" w:rsidRPr="0025253E">
        <w:t xml:space="preserve"> punkter,</w:t>
      </w:r>
      <w:r w:rsidRPr="0025253E">
        <w:t xml:space="preserve"> </w:t>
      </w:r>
      <w:r>
        <w:t>k</w:t>
      </w:r>
      <w:r w:rsidR="001649D1">
        <w:t>lassificering</w:t>
      </w:r>
      <w:r w:rsidR="0095521B">
        <w:t xml:space="preserve"> och faro</w:t>
      </w:r>
      <w:r w:rsidR="00903B55">
        <w:t>kategorier</w:t>
      </w:r>
    </w:p>
    <w:p w:rsidR="009D14CF" w:rsidRDefault="00951FF1" w:rsidP="009D14CF">
      <w:pPr>
        <w:pStyle w:val="Brdtext"/>
      </w:pPr>
      <w:r>
        <w:t>D</w:t>
      </w:r>
      <w:r w:rsidR="007428E8">
        <w:t xml:space="preserve">el 1 i bilaga 1 till Sevesoförordningen </w:t>
      </w:r>
      <w:r w:rsidR="00C0740F">
        <w:t>består av</w:t>
      </w:r>
      <w:r w:rsidR="00C7356B">
        <w:t xml:space="preserve"> avsnitt</w:t>
      </w:r>
      <w:r w:rsidR="00C0740F">
        <w:t xml:space="preserve"> som innehåller olika </w:t>
      </w:r>
      <w:r w:rsidR="00D83A3B" w:rsidRPr="0025253E">
        <w:t>poster</w:t>
      </w:r>
      <w:r w:rsidR="00C7356B">
        <w:t xml:space="preserve"> med farliga ämnen.</w:t>
      </w:r>
      <w:r w:rsidR="00D83A3B">
        <w:t xml:space="preserve"> </w:t>
      </w:r>
      <w:r w:rsidR="00D83A3B" w:rsidRPr="0025253E">
        <w:t>I vissa fall är posterna uppdelade i punkter</w:t>
      </w:r>
      <w:r w:rsidR="00BA1AC1" w:rsidRPr="0025253E">
        <w:rPr>
          <w:rStyle w:val="Fotnotsreferens"/>
        </w:rPr>
        <w:footnoteReference w:id="1"/>
      </w:r>
      <w:r w:rsidR="00D83A3B" w:rsidRPr="0025253E">
        <w:t xml:space="preserve">. </w:t>
      </w:r>
      <w:r w:rsidR="00C7356B" w:rsidRPr="0025253E">
        <w:t xml:space="preserve"> </w:t>
      </w:r>
      <w:r w:rsidR="00C7356B">
        <w:t xml:space="preserve">För att kunna avgöra om ett ämne ska sorteras in </w:t>
      </w:r>
      <w:r w:rsidR="00C0740F">
        <w:t>i en</w:t>
      </w:r>
      <w:r w:rsidR="00D83A3B">
        <w:t xml:space="preserve"> eller flera av </w:t>
      </w:r>
      <w:r w:rsidR="00D83A3B" w:rsidRPr="0025253E">
        <w:t>posterna</w:t>
      </w:r>
      <w:r w:rsidR="0025253E" w:rsidRPr="0025253E">
        <w:t>/punkterna</w:t>
      </w:r>
      <w:r w:rsidR="00C7356B" w:rsidRPr="0025253E">
        <w:t xml:space="preserve"> </w:t>
      </w:r>
      <w:r w:rsidR="00C7356B">
        <w:t>behöver</w:t>
      </w:r>
      <w:r w:rsidR="007428E8">
        <w:t xml:space="preserve"> man veta hur de</w:t>
      </w:r>
      <w:r w:rsidR="00C7356B">
        <w:t>t är klassificerat</w:t>
      </w:r>
      <w:r w:rsidR="007428E8">
        <w:t xml:space="preserve"> och </w:t>
      </w:r>
      <w:r w:rsidR="00C7356B">
        <w:t>vilken/</w:t>
      </w:r>
      <w:r w:rsidR="007428E8">
        <w:t xml:space="preserve">vilka farokategorier </w:t>
      </w:r>
      <w:r w:rsidR="00FA33D2">
        <w:t>enligt CLP</w:t>
      </w:r>
      <w:r w:rsidR="009F18D6">
        <w:rPr>
          <w:rStyle w:val="Fotnotsreferens"/>
        </w:rPr>
        <w:footnoteReference w:id="2"/>
      </w:r>
      <w:r w:rsidR="00FA33D2">
        <w:t xml:space="preserve"> </w:t>
      </w:r>
      <w:r w:rsidR="007428E8">
        <w:t>de</w:t>
      </w:r>
      <w:r w:rsidR="00C7356B">
        <w:t>t</w:t>
      </w:r>
      <w:r w:rsidR="007428E8">
        <w:t xml:space="preserve"> tillhör.</w:t>
      </w:r>
    </w:p>
    <w:p w:rsidR="007428E8" w:rsidRDefault="007428E8" w:rsidP="006F47CB">
      <w:pPr>
        <w:pStyle w:val="Rubrik3"/>
      </w:pPr>
      <w:r>
        <w:t>Namngivna ämnen</w:t>
      </w:r>
    </w:p>
    <w:p w:rsidR="007428E8" w:rsidRDefault="007428E8" w:rsidP="007428E8">
      <w:pPr>
        <w:pStyle w:val="Brdtext"/>
      </w:pPr>
      <w:r>
        <w:t xml:space="preserve">De namngivna ämnena i del 2 i bilaga 1 till Sevesoförordningen är ämnen som tilldelats en gränsmängd som skiljer sig från gränsmängden för de </w:t>
      </w:r>
      <w:r w:rsidR="00D9253A" w:rsidRPr="00462535">
        <w:t>poster/</w:t>
      </w:r>
      <w:r w:rsidR="00973D0E">
        <w:t>punkter</w:t>
      </w:r>
      <w:r>
        <w:t xml:space="preserve"> de tillhör. Gränsmängderna kan</w:t>
      </w:r>
      <w:r w:rsidR="00D0498D">
        <w:t xml:space="preserve"> vara såväl högre som lägre än </w:t>
      </w:r>
      <w:r>
        <w:t xml:space="preserve">för </w:t>
      </w:r>
      <w:r w:rsidR="00D0498D">
        <w:t xml:space="preserve">de </w:t>
      </w:r>
      <w:r w:rsidR="00D9253A">
        <w:t>poster</w:t>
      </w:r>
      <w:r>
        <w:rPr>
          <w:color w:val="FF0000"/>
        </w:rPr>
        <w:t xml:space="preserve"> </w:t>
      </w:r>
      <w:r w:rsidR="00531845">
        <w:t>som ämnena</w:t>
      </w:r>
      <w:r>
        <w:t xml:space="preserve"> tillhör.</w:t>
      </w:r>
    </w:p>
    <w:p w:rsidR="00C7064A" w:rsidRDefault="00C7064A" w:rsidP="007428E8">
      <w:pPr>
        <w:pStyle w:val="Brdtext"/>
      </w:pPr>
    </w:p>
    <w:p w:rsidR="00C7064A" w:rsidRDefault="00C7064A" w:rsidP="007428E8">
      <w:pPr>
        <w:pStyle w:val="Brdtext"/>
      </w:pPr>
    </w:p>
    <w:p w:rsidR="00C7064A" w:rsidRDefault="00C7064A" w:rsidP="007428E8">
      <w:pPr>
        <w:pStyle w:val="Brdtext"/>
      </w:pPr>
    </w:p>
    <w:p w:rsidR="009B17D8" w:rsidRPr="00FA33D2" w:rsidRDefault="009B17D8" w:rsidP="009B17D8">
      <w:pPr>
        <w:pStyle w:val="Rubrik2"/>
      </w:pPr>
      <w:r w:rsidRPr="00FA33D2">
        <w:lastRenderedPageBreak/>
        <w:t>Undantag</w:t>
      </w:r>
      <w:r w:rsidR="00C7064A">
        <w:t>en</w:t>
      </w:r>
      <w:r w:rsidRPr="00FA33D2">
        <w:t xml:space="preserve"> i Sevesolagen</w:t>
      </w:r>
    </w:p>
    <w:p w:rsidR="00315ED8" w:rsidRDefault="00315ED8" w:rsidP="00315ED8"/>
    <w:p w:rsidR="00315ED8" w:rsidRDefault="00315ED8" w:rsidP="00315ED8">
      <w:pPr>
        <w:pStyle w:val="Rubrik3"/>
        <w:numPr>
          <w:ilvl w:val="0"/>
          <w:numId w:val="12"/>
        </w:numPr>
      </w:pPr>
      <w:r>
        <w:t>Faror som har samband med joniserande strålning</w:t>
      </w:r>
    </w:p>
    <w:p w:rsidR="00315ED8" w:rsidRDefault="00315ED8" w:rsidP="00315ED8">
      <w:r>
        <w:t>Faror som har samband me</w:t>
      </w:r>
      <w:r w:rsidR="00D72AD0">
        <w:t>d joniserande strålning är</w:t>
      </w:r>
      <w:r>
        <w:t xml:space="preserve"> undantagna. Avsikten är att verksamhet som faller under regleringen på kärnsäkerhetsområ</w:t>
      </w:r>
      <w:r w:rsidR="009F18D6">
        <w:t>det, det vill säga omfattas av L</w:t>
      </w:r>
      <w:r>
        <w:t xml:space="preserve">agen </w:t>
      </w:r>
      <w:r w:rsidRPr="00462535">
        <w:t>(SFS 1984:3)</w:t>
      </w:r>
      <w:r w:rsidR="009F18D6" w:rsidRPr="00462535">
        <w:t xml:space="preserve"> om kärnteknisk verksamhet</w:t>
      </w:r>
      <w:r>
        <w:t>, inte ska omfattas av Sevesoreglerna.</w:t>
      </w:r>
    </w:p>
    <w:p w:rsidR="00315ED8" w:rsidRDefault="00851C8B" w:rsidP="00315ED8">
      <w:r>
        <w:br/>
      </w:r>
      <w:r w:rsidR="00315ED8">
        <w:t>Om det däremot finns t ex en gasolcistern inom en kärnkraftsanläggning omfattas verksamheten om gasolmängden är tillräckligt stor. Motsvarande gäller för andra icke joniserande ämnen som hanteras inom en kärnkraftsverksamhet och som omfattas av reglerna.</w:t>
      </w:r>
    </w:p>
    <w:p w:rsidR="00315ED8" w:rsidRDefault="00315ED8" w:rsidP="00315ED8"/>
    <w:p w:rsidR="00315ED8" w:rsidRDefault="009D6264" w:rsidP="00315ED8">
      <w:pPr>
        <w:pStyle w:val="Rubrik3"/>
        <w:numPr>
          <w:ilvl w:val="0"/>
          <w:numId w:val="12"/>
        </w:numPr>
      </w:pPr>
      <w:r>
        <w:t>Hantering som omfattas av lagen om transport av farligt gods</w:t>
      </w:r>
    </w:p>
    <w:p w:rsidR="009D6264" w:rsidRDefault="00A12E95" w:rsidP="009D6264">
      <w:r>
        <w:t>Hantering</w:t>
      </w:r>
      <w:r w:rsidR="009D6264">
        <w:t xml:space="preserve"> som omfattas av lagen (SFS 2006:263) </w:t>
      </w:r>
      <w:r w:rsidR="00916EAA" w:rsidRPr="00C7064A">
        <w:t>om transport av farligt gods</w:t>
      </w:r>
      <w:r w:rsidR="00916EAA">
        <w:t xml:space="preserve"> </w:t>
      </w:r>
      <w:r>
        <w:t>undantas från lagens tillämpningsområde om den sker utanför verksamheten.</w:t>
      </w:r>
    </w:p>
    <w:p w:rsidR="00A12E95" w:rsidRDefault="00A12E95" w:rsidP="009D6264"/>
    <w:p w:rsidR="00A12E95" w:rsidRDefault="00916EAA" w:rsidP="00A12E95">
      <w:pPr>
        <w:pStyle w:val="Rubrik3"/>
        <w:numPr>
          <w:ilvl w:val="0"/>
          <w:numId w:val="12"/>
        </w:numPr>
      </w:pPr>
      <w:r>
        <w:t>Bulklast på fartyg</w:t>
      </w:r>
    </w:p>
    <w:p w:rsidR="00916EAA" w:rsidRDefault="00916EAA" w:rsidP="00916EAA">
      <w:r>
        <w:t>Transport av farliga ämnen som sker som bulklast i fartyg när transporten sker i fartygets fasta tankar samt farliga ämnen som används som drivmedel på fartyg är undantagna. Undantaget gäller dock inte inom verksamheter som omfattas av Sevesolagen.</w:t>
      </w:r>
    </w:p>
    <w:p w:rsidR="00A04839" w:rsidRDefault="00A04839" w:rsidP="00A04839"/>
    <w:p w:rsidR="00A04839" w:rsidRDefault="00916EAA" w:rsidP="00A04839">
      <w:pPr>
        <w:pStyle w:val="Rubrik3"/>
        <w:numPr>
          <w:ilvl w:val="0"/>
          <w:numId w:val="12"/>
        </w:numPr>
      </w:pPr>
      <w:r>
        <w:t>Rörledningar</w:t>
      </w:r>
    </w:p>
    <w:p w:rsidR="00A04839" w:rsidRDefault="00303FDE" w:rsidP="00B23295">
      <w:r>
        <w:t>Transport i rörledning utanför verksamheter som omfattas av Sevesolagen är undantagen.</w:t>
      </w:r>
    </w:p>
    <w:p w:rsidR="00916EAA" w:rsidRDefault="00916EAA" w:rsidP="00B23295"/>
    <w:p w:rsidR="00916EAA" w:rsidRPr="00916EAA" w:rsidRDefault="00916EAA" w:rsidP="00916EAA">
      <w:pPr>
        <w:pStyle w:val="Liststycke"/>
        <w:numPr>
          <w:ilvl w:val="0"/>
          <w:numId w:val="12"/>
        </w:numPr>
        <w:rPr>
          <w:b/>
        </w:rPr>
      </w:pPr>
      <w:r w:rsidRPr="00916EAA">
        <w:rPr>
          <w:b/>
        </w:rPr>
        <w:t>Militär verksamhet</w:t>
      </w:r>
    </w:p>
    <w:p w:rsidR="00916EAA" w:rsidRDefault="00916EAA" w:rsidP="00916EAA">
      <w:r>
        <w:t>Militär verksamhet är helt undantagen</w:t>
      </w:r>
    </w:p>
    <w:p w:rsidR="00916EAA" w:rsidRPr="00A04839" w:rsidRDefault="00916EAA" w:rsidP="00916EAA"/>
    <w:p w:rsidR="00EE0680" w:rsidRPr="00EE0680" w:rsidRDefault="00EE0680" w:rsidP="00EE0680">
      <w:pPr>
        <w:pStyle w:val="Brdtext"/>
      </w:pPr>
    </w:p>
    <w:p w:rsidR="009B17D8" w:rsidRDefault="009B17D8">
      <w:pPr>
        <w:spacing w:line="240" w:lineRule="auto"/>
      </w:pPr>
      <w:r>
        <w:br w:type="page"/>
      </w:r>
    </w:p>
    <w:p w:rsidR="009B17D8" w:rsidRDefault="009B17D8" w:rsidP="006F47CB">
      <w:pPr>
        <w:pStyle w:val="Rubrik2"/>
      </w:pPr>
      <w:r>
        <w:lastRenderedPageBreak/>
        <w:t>Kravnivåer, gränsmängder och bilaga 1 till Sevesoförordningen</w:t>
      </w:r>
    </w:p>
    <w:p w:rsidR="009B17D8" w:rsidRDefault="009B17D8" w:rsidP="009B17D8">
      <w:pPr>
        <w:pStyle w:val="Brdtext"/>
      </w:pPr>
      <w:r>
        <w:t>Det finns två kravnivåer för vilken verksamhet som omfattas. Nivåerna definieras av gränsmängder som anges i bilaga 1 till Sevesoförordningen.</w:t>
      </w:r>
    </w:p>
    <w:p w:rsidR="009B17D8" w:rsidRDefault="009B17D8" w:rsidP="006F47CB">
      <w:pPr>
        <w:pStyle w:val="Rubrik3"/>
      </w:pPr>
      <w:r>
        <w:t>Två kravnivåer</w:t>
      </w:r>
    </w:p>
    <w:p w:rsidR="009B17D8" w:rsidRDefault="009B17D8" w:rsidP="009B17D8">
      <w:pPr>
        <w:pStyle w:val="Brdtext"/>
      </w:pPr>
      <w:r>
        <w:t xml:space="preserve">Verksamheter som omfattas av bestämmelserna omfattas antingen av den högre eller </w:t>
      </w:r>
      <w:r w:rsidR="005E51B8">
        <w:t xml:space="preserve">av </w:t>
      </w:r>
      <w:r>
        <w:t>den lägre kravnivån.</w:t>
      </w:r>
    </w:p>
    <w:p w:rsidR="009B17D8" w:rsidRDefault="009B17D8" w:rsidP="009B17D8">
      <w:pPr>
        <w:pStyle w:val="Brdtext"/>
      </w:pPr>
      <w:r>
        <w:t>På den högre</w:t>
      </w:r>
      <w:r w:rsidR="00BA5A0D">
        <w:t xml:space="preserve"> kravnivån medför reglerna fler</w:t>
      </w:r>
      <w:r>
        <w:t xml:space="preserve"> skyldigheter för den som berörs</w:t>
      </w:r>
      <w:r w:rsidR="003A04B2">
        <w:t xml:space="preserve"> än på den lägre</w:t>
      </w:r>
      <w:r>
        <w:t xml:space="preserve">. </w:t>
      </w:r>
      <w:r w:rsidR="005D0D47">
        <w:t xml:space="preserve">Verksamheter som omfattas av den högre kravnivån är till exempel alltid tillståndspliktiga </w:t>
      </w:r>
      <w:r w:rsidR="005D0D47" w:rsidRPr="00C7064A">
        <w:t xml:space="preserve">enligt </w:t>
      </w:r>
      <w:r w:rsidR="00916EAA" w:rsidRPr="00C7064A">
        <w:t>m</w:t>
      </w:r>
      <w:r w:rsidR="005D0D47">
        <w:t>iljöbalken och ska upprätta och sända en säkerhetsrapport till länsstyrelsen.</w:t>
      </w:r>
    </w:p>
    <w:p w:rsidR="004904B9" w:rsidRDefault="004904B9" w:rsidP="006F47CB">
      <w:pPr>
        <w:pStyle w:val="Rubrik3"/>
      </w:pPr>
      <w:r>
        <w:t>Gränsmängder och bilaga 1 till Sevesoförordningen (2015:236)</w:t>
      </w:r>
    </w:p>
    <w:p w:rsidR="004904B9" w:rsidRDefault="004904B9" w:rsidP="004904B9">
      <w:r>
        <w:t>Gränsmängderna (tröskelvärdena) som defin</w:t>
      </w:r>
      <w:r w:rsidR="0009738F">
        <w:t xml:space="preserve">ierar kravnivåer anges i bilaga </w:t>
      </w:r>
      <w:r w:rsidR="0009738F" w:rsidRPr="00B14CC8">
        <w:t>1</w:t>
      </w:r>
      <w:r>
        <w:t xml:space="preserve"> till förordningen (2015:236) om åtgärder för att förebygga och begränsa följderna av allvarliga kemikalieolyckor</w:t>
      </w:r>
      <w:r w:rsidR="00DA317E">
        <w:t xml:space="preserve">. </w:t>
      </w:r>
      <w:r>
        <w:t>Förutom gränsmängd</w:t>
      </w:r>
      <w:r w:rsidR="00182658">
        <w:t xml:space="preserve">erna finns också ett antal </w:t>
      </w:r>
      <w:r w:rsidR="00182658" w:rsidRPr="00B14CC8">
        <w:t>inledande punkter</w:t>
      </w:r>
      <w:r w:rsidRPr="00B14CC8">
        <w:t xml:space="preserve"> </w:t>
      </w:r>
      <w:r>
        <w:t>som anger hur bilagan tillämpas och ett antal anmärkningar som förtydligar klassificeringen.</w:t>
      </w:r>
    </w:p>
    <w:p w:rsidR="00DA317E" w:rsidRDefault="00DA317E" w:rsidP="004904B9"/>
    <w:p w:rsidR="00DA317E" w:rsidRDefault="00DA317E" w:rsidP="004904B9">
      <w:r>
        <w:t>Om mängden farliga ämnen är lika med eller överstiger endast den lägre gränsmängden omfattas verksamheten av den lägre kravnivån.</w:t>
      </w:r>
    </w:p>
    <w:p w:rsidR="00DA317E" w:rsidRDefault="00DA317E" w:rsidP="004904B9"/>
    <w:p w:rsidR="00646052" w:rsidRDefault="00DA317E" w:rsidP="004904B9">
      <w:r>
        <w:t>Om mängden farliga ämnen överstiger den högre gränsmängden omfattas verks</w:t>
      </w:r>
      <w:r w:rsidR="00646052">
        <w:t>amheten av den högre kravnivån.</w:t>
      </w:r>
    </w:p>
    <w:p w:rsidR="00DA317E" w:rsidRDefault="00DA317E" w:rsidP="00F824B8">
      <w:r>
        <w:t>För verksamheter som hanterar flera olika farliga ämnen, som var för sig inte kommer över de definierade gränsmängderna, finns en summeringsregel som används för att avgöra om verksamheten omfattas av bestämmelserna.</w:t>
      </w:r>
      <w:r w:rsidR="00BA5A0D">
        <w:rPr>
          <w:color w:val="FF0000"/>
        </w:rPr>
        <w:t xml:space="preserve"> </w:t>
      </w:r>
      <w:r w:rsidR="00BA5A0D" w:rsidRPr="00B14CC8">
        <w:t>Hur denna tillämpas</w:t>
      </w:r>
      <w:r w:rsidR="00D1383A">
        <w:t xml:space="preserve"> finns</w:t>
      </w:r>
      <w:r w:rsidR="00851C8B">
        <w:t xml:space="preserve"> beskrivet</w:t>
      </w:r>
      <w:r w:rsidR="00D1383A">
        <w:t xml:space="preserve"> i </w:t>
      </w:r>
      <w:proofErr w:type="spellStart"/>
      <w:r w:rsidR="00D1383A">
        <w:t>MSB:s</w:t>
      </w:r>
      <w:proofErr w:type="spellEnd"/>
      <w:r w:rsidR="00D1383A">
        <w:t xml:space="preserve"> publikation </w:t>
      </w:r>
      <w:hyperlink r:id="rId12" w:history="1">
        <w:r w:rsidR="00D1383A" w:rsidRPr="00B94EE0">
          <w:rPr>
            <w:rStyle w:val="Hyperlnk"/>
          </w:rPr>
          <w:t>Summeringsregeln</w:t>
        </w:r>
      </w:hyperlink>
      <w:proofErr w:type="gramStart"/>
      <w:r w:rsidR="00D1383A">
        <w:t>.</w:t>
      </w:r>
      <w:proofErr w:type="gramEnd"/>
      <w:r w:rsidR="00F824B8">
        <w:br/>
      </w:r>
      <w:r w:rsidR="00F824B8">
        <w:br/>
      </w:r>
      <w:r w:rsidRPr="00F824B8">
        <w:rPr>
          <w:b/>
        </w:rPr>
        <w:t>Bilaga 1 till Sevesoförordningen består av två delar.</w:t>
      </w:r>
    </w:p>
    <w:p w:rsidR="00DA317E" w:rsidRDefault="00DA317E" w:rsidP="00DA317E">
      <w:pPr>
        <w:pStyle w:val="Brdtext"/>
      </w:pPr>
      <w:r>
        <w:t xml:space="preserve">Del 1 består av </w:t>
      </w:r>
      <w:r w:rsidR="00031694" w:rsidRPr="00B14CC8">
        <w:t xml:space="preserve">fyra </w:t>
      </w:r>
      <w:r w:rsidR="00286C34" w:rsidRPr="00B14CC8">
        <w:t>avsnitt</w:t>
      </w:r>
      <w:r w:rsidR="00031694" w:rsidRPr="00B14CC8">
        <w:t>. Dessa är</w:t>
      </w:r>
      <w:r w:rsidRPr="00B14CC8">
        <w:t xml:space="preserve"> </w:t>
      </w:r>
      <w:r w:rsidR="008E7883" w:rsidRPr="00B14CC8">
        <w:t>uppdelade i p</w:t>
      </w:r>
      <w:r w:rsidR="00A319A4" w:rsidRPr="00B14CC8">
        <w:t>oster (och i vissa fall även punkter)</w:t>
      </w:r>
      <w:r w:rsidR="00BA1AC1" w:rsidRPr="00B14CC8">
        <w:rPr>
          <w:vertAlign w:val="superscript"/>
        </w:rPr>
        <w:t>1</w:t>
      </w:r>
      <w:r>
        <w:t xml:space="preserve"> där ämnen </w:t>
      </w:r>
      <w:r w:rsidR="0057129B">
        <w:t>med vissa gemensamma egenskaper, exempelvis akut</w:t>
      </w:r>
      <w:r w:rsidR="0009738F">
        <w:t xml:space="preserve"> </w:t>
      </w:r>
      <w:r w:rsidR="0057129B">
        <w:t>toxiska eller brandfarliga, sorteras in</w:t>
      </w:r>
      <w:r>
        <w:t xml:space="preserve">. </w:t>
      </w:r>
      <w:r w:rsidR="0070711B">
        <w:t>Del 2 består av namngivna ämnen</w:t>
      </w:r>
      <w:r>
        <w:t>.</w:t>
      </w:r>
    </w:p>
    <w:p w:rsidR="00DA317E" w:rsidRDefault="008E7883" w:rsidP="00DA317E">
      <w:pPr>
        <w:pStyle w:val="Brdtext"/>
      </w:pPr>
      <w:r>
        <w:t xml:space="preserve">För ämnen som tillhör </w:t>
      </w:r>
      <w:r w:rsidRPr="00B14CC8">
        <w:t xml:space="preserve">en </w:t>
      </w:r>
      <w:r w:rsidR="00C97AFF" w:rsidRPr="00B14CC8">
        <w:t>post/</w:t>
      </w:r>
      <w:r w:rsidRPr="00B14CC8">
        <w:t>punkt</w:t>
      </w:r>
      <w:r w:rsidR="00DA317E" w:rsidRPr="00B14CC8">
        <w:t xml:space="preserve"> </w:t>
      </w:r>
      <w:r w:rsidR="00DA317E">
        <w:t>i del 1 men samtidigt är namngivna i del 2 är det gränsvärdena i del 2 som gäller före dem i del 1, oavsett om gränsmängderna i del 2 är högre eller lägre än de i del 1.</w:t>
      </w:r>
    </w:p>
    <w:p w:rsidR="00B212B6" w:rsidRDefault="00B212B6">
      <w:pPr>
        <w:spacing w:line="240" w:lineRule="auto"/>
      </w:pPr>
      <w:r>
        <w:br w:type="page"/>
      </w:r>
    </w:p>
    <w:p w:rsidR="00431574" w:rsidRPr="00D1383A" w:rsidRDefault="00A31B83" w:rsidP="006F47CB">
      <w:pPr>
        <w:pStyle w:val="Rubrik3"/>
        <w:rPr>
          <w:sz w:val="24"/>
          <w:szCs w:val="24"/>
        </w:rPr>
      </w:pPr>
      <w:r w:rsidRPr="00D1383A">
        <w:rPr>
          <w:sz w:val="24"/>
          <w:szCs w:val="24"/>
        </w:rPr>
        <w:lastRenderedPageBreak/>
        <w:t>Inledande punkter</w:t>
      </w:r>
      <w:r w:rsidR="000D570F" w:rsidRPr="00D1383A">
        <w:rPr>
          <w:sz w:val="24"/>
          <w:szCs w:val="24"/>
        </w:rPr>
        <w:t xml:space="preserve"> till bilaga 1</w:t>
      </w:r>
    </w:p>
    <w:p w:rsidR="00431574" w:rsidRPr="00B14CC8" w:rsidRDefault="00A31B83" w:rsidP="006F47CB">
      <w:pPr>
        <w:rPr>
          <w:b/>
        </w:rPr>
      </w:pPr>
      <w:r w:rsidRPr="00B14CC8">
        <w:rPr>
          <w:b/>
        </w:rPr>
        <w:t>Inledande punkt 1</w:t>
      </w:r>
    </w:p>
    <w:p w:rsidR="00431574" w:rsidRPr="00B14CC8" w:rsidRDefault="00A31B83" w:rsidP="006F47CB">
      <w:pPr>
        <w:rPr>
          <w:b/>
        </w:rPr>
      </w:pPr>
      <w:r w:rsidRPr="00B14CC8">
        <w:t>Inledande punkt 1</w:t>
      </w:r>
      <w:r w:rsidR="00431574" w:rsidRPr="00B14CC8">
        <w:t xml:space="preserve"> </w:t>
      </w:r>
      <w:r w:rsidR="00431574">
        <w:t>refererar till de regelverk som innehåller regler för klassificering</w:t>
      </w:r>
      <w:r w:rsidR="00851C8B">
        <w:t>.</w:t>
      </w:r>
      <w:r w:rsidR="00D1383A">
        <w:br/>
      </w:r>
      <w:r w:rsidR="00D1383A">
        <w:rPr>
          <w:b/>
        </w:rPr>
        <w:br/>
      </w:r>
      <w:r w:rsidRPr="00B14CC8">
        <w:rPr>
          <w:b/>
        </w:rPr>
        <w:t>Inledande punkt 2</w:t>
      </w:r>
    </w:p>
    <w:p w:rsidR="000820E0" w:rsidRDefault="00A31B83" w:rsidP="00431574">
      <w:r w:rsidRPr="00B14CC8">
        <w:t>Inledande punkt 2</w:t>
      </w:r>
      <w:r w:rsidR="00431574" w:rsidRPr="00B14CC8">
        <w:t xml:space="preserve"> </w:t>
      </w:r>
      <w:r w:rsidR="00431574">
        <w:t xml:space="preserve">innebär att en blandning som innehåller ett farligt ämne enligt vad som föreskrivs i bilaga 1 till Sevesoförordningen ska jämställas med det rena ämnet förutsatt att klassificeringen är densamma. </w:t>
      </w:r>
      <w:r w:rsidR="000820E0">
        <w:t>Detta gäller endast då specifika koncentrationsgränser inte särskilt anges i bilaga 1 till Sevesoförordningen.</w:t>
      </w:r>
      <w:r w:rsidR="00D1383A">
        <w:br/>
      </w:r>
    </w:p>
    <w:p w:rsidR="000820E0" w:rsidRPr="00B14CC8" w:rsidRDefault="00A31B83" w:rsidP="006F47CB">
      <w:pPr>
        <w:rPr>
          <w:b/>
        </w:rPr>
      </w:pPr>
      <w:r w:rsidRPr="00B14CC8">
        <w:rPr>
          <w:b/>
        </w:rPr>
        <w:t>Inledande punkt 3</w:t>
      </w:r>
    </w:p>
    <w:p w:rsidR="003B79BD" w:rsidRDefault="00A31B83" w:rsidP="000820E0">
      <w:r w:rsidRPr="00B14CC8">
        <w:t>Inledande punkt 3</w:t>
      </w:r>
      <w:r w:rsidR="000820E0" w:rsidRPr="00B14CC8">
        <w:t xml:space="preserve"> </w:t>
      </w:r>
      <w:r w:rsidR="003B79BD">
        <w:t>ger information om hur ämnen som inte omfattas av klassificeringsreglerna enligt CLP men ändå kan orsaka allvarliga olyckshändelser ska betraktas i Sevesosammanhang. Det är inte meningen att den som hanterar ett ämne som inte klassificerats men som ändå är farligt ska undantas från reglerna.</w:t>
      </w:r>
    </w:p>
    <w:p w:rsidR="000E379D" w:rsidRPr="00D1383A" w:rsidRDefault="00D1383A" w:rsidP="003B79BD">
      <w:pPr>
        <w:rPr>
          <w:b/>
        </w:rPr>
      </w:pPr>
      <w:r>
        <w:rPr>
          <w:b/>
        </w:rPr>
        <w:br/>
      </w:r>
      <w:r w:rsidR="00A31B83" w:rsidRPr="00B14CC8">
        <w:rPr>
          <w:b/>
        </w:rPr>
        <w:t>Inledande punkt 4</w:t>
      </w:r>
      <w:r>
        <w:rPr>
          <w:b/>
        </w:rPr>
        <w:br/>
      </w:r>
      <w:r w:rsidR="00A31B83" w:rsidRPr="00B14CC8">
        <w:t>Inledande punkt 4</w:t>
      </w:r>
      <w:r w:rsidR="004043F5" w:rsidRPr="00B14CC8">
        <w:t xml:space="preserve"> </w:t>
      </w:r>
      <w:r w:rsidR="004043F5">
        <w:t>anger att om ett ämne</w:t>
      </w:r>
      <w:r w:rsidR="0007375E">
        <w:t xml:space="preserve"> uppvisar egenskaper som medför flera klassificeringar så ska den klassificering som motsvarar den lägsta mängden farligt ämne gälla. D</w:t>
      </w:r>
      <w:r w:rsidR="000E379D">
        <w:t>et bör</w:t>
      </w:r>
      <w:r w:rsidR="00A31B83">
        <w:t xml:space="preserve"> dock noteras (står inte i </w:t>
      </w:r>
      <w:r w:rsidR="00A31B83" w:rsidRPr="00B14CC8">
        <w:t>inledande punkt 4</w:t>
      </w:r>
      <w:r w:rsidR="000E379D">
        <w:t>) att</w:t>
      </w:r>
      <w:r w:rsidR="0007375E">
        <w:t xml:space="preserve"> vid tilläm</w:t>
      </w:r>
      <w:r w:rsidR="00A31B83">
        <w:t>pning av summeringsregeln (</w:t>
      </w:r>
      <w:r w:rsidR="00A31B83" w:rsidRPr="00B14CC8">
        <w:t>inledande punkt 7</w:t>
      </w:r>
      <w:r w:rsidR="0007375E">
        <w:t xml:space="preserve">) </w:t>
      </w:r>
      <w:r w:rsidR="000E379D">
        <w:t>ska den klassificering som svarar mot den aktuella summeringen</w:t>
      </w:r>
      <w:r w:rsidR="00BE64E1">
        <w:t xml:space="preserve"> alltid användas</w:t>
      </w:r>
      <w:r w:rsidR="000E379D">
        <w:t>.</w:t>
      </w:r>
    </w:p>
    <w:p w:rsidR="000E379D" w:rsidRDefault="00635C4E" w:rsidP="003B79BD">
      <w:r>
        <w:t>I</w:t>
      </w:r>
      <w:r w:rsidR="00A31B83">
        <w:rPr>
          <w:color w:val="FF0000"/>
        </w:rPr>
        <w:t xml:space="preserve"> </w:t>
      </w:r>
      <w:r w:rsidR="00A31B83" w:rsidRPr="00B14CC8">
        <w:t>inledande punkt</w:t>
      </w:r>
      <w:r w:rsidRPr="00B14CC8">
        <w:t xml:space="preserve"> 4</w:t>
      </w:r>
      <w:r w:rsidR="000E379D" w:rsidRPr="00B14CC8">
        <w:t xml:space="preserve"> </w:t>
      </w:r>
      <w:r w:rsidR="000E379D">
        <w:t xml:space="preserve">framgår också att om ett ämne står förtecknat i del 2 i bilaga 1 till Sevesoförordningen ska de mängder som anges i del 2 alltid </w:t>
      </w:r>
      <w:r w:rsidR="00B3157B">
        <w:t>(</w:t>
      </w:r>
      <w:r w:rsidR="00C97AFF" w:rsidRPr="00B14CC8">
        <w:t>se dock inledande punkt</w:t>
      </w:r>
      <w:r w:rsidR="00B3157B" w:rsidRPr="00B14CC8">
        <w:t xml:space="preserve"> 5</w:t>
      </w:r>
      <w:r w:rsidR="00B3157B">
        <w:t xml:space="preserve">) </w:t>
      </w:r>
      <w:r w:rsidR="000E379D">
        <w:t>gälla, oavsett om ämnet kan hänföras till en kategori i del 1.</w:t>
      </w:r>
      <w:r w:rsidR="00D1383A">
        <w:br/>
      </w:r>
    </w:p>
    <w:p w:rsidR="000E379D" w:rsidRPr="00B14CC8" w:rsidRDefault="00A31B83" w:rsidP="006F47CB">
      <w:pPr>
        <w:rPr>
          <w:b/>
        </w:rPr>
      </w:pPr>
      <w:r w:rsidRPr="00B14CC8">
        <w:rPr>
          <w:b/>
        </w:rPr>
        <w:t>Inledande punkt 5</w:t>
      </w:r>
    </w:p>
    <w:p w:rsidR="00B3157B" w:rsidRPr="00D1383A" w:rsidRDefault="00A31B83" w:rsidP="00D1383A">
      <w:pPr>
        <w:pStyle w:val="Brdtext"/>
      </w:pPr>
      <w:r w:rsidRPr="00B14CC8">
        <w:t>Inledande punkt 5</w:t>
      </w:r>
      <w:r w:rsidR="00B3157B">
        <w:t xml:space="preserve"> anger att om något av de namngivna ämnena under punkt 42-48 i del 2 ingår i en brandfarlig vätska enligt del 1, punkt P5a eller P5b, ska de mängder som anges i de sistnämnda punkterna tillämpas.</w:t>
      </w:r>
      <w:r w:rsidR="00D1383A">
        <w:br/>
      </w:r>
      <w:r w:rsidR="00D1383A">
        <w:br/>
      </w:r>
      <w:r w:rsidRPr="00B14CC8">
        <w:rPr>
          <w:b/>
        </w:rPr>
        <w:t>Inledande punkt 6</w:t>
      </w:r>
      <w:r w:rsidR="00D1383A">
        <w:rPr>
          <w:b/>
        </w:rPr>
        <w:br/>
      </w:r>
      <w:r w:rsidRPr="00B14CC8">
        <w:t>Inledande punkt 6</w:t>
      </w:r>
      <w:r w:rsidR="00500652">
        <w:t xml:space="preserve"> anger att den mängd farligt ämne som ska beaktas är den maximala mängd som förekommer eller kan förekomma vid verksamheten.</w:t>
      </w:r>
    </w:p>
    <w:p w:rsidR="00500652" w:rsidRPr="00D1383A" w:rsidRDefault="00635C4E" w:rsidP="006F47CB">
      <w:r w:rsidRPr="002A79EA">
        <w:t>I</w:t>
      </w:r>
      <w:r w:rsidR="00A31B83" w:rsidRPr="002A79EA">
        <w:t>nledande punkt</w:t>
      </w:r>
      <w:r w:rsidRPr="002A79EA">
        <w:t xml:space="preserve"> 6</w:t>
      </w:r>
      <w:r w:rsidR="00500652" w:rsidRPr="002A79EA">
        <w:t xml:space="preserve"> </w:t>
      </w:r>
      <w:r w:rsidR="00851C8B">
        <w:t>tar också upp den så kallade</w:t>
      </w:r>
      <w:r w:rsidR="00500652">
        <w:t xml:space="preserve"> 2</w:t>
      </w:r>
      <w:proofErr w:type="gramStart"/>
      <w:r w:rsidR="00500652">
        <w:t xml:space="preserve"> %-regeln</w:t>
      </w:r>
      <w:proofErr w:type="gramEnd"/>
      <w:r w:rsidR="00500652">
        <w:t xml:space="preserve"> </w:t>
      </w:r>
      <w:r w:rsidR="00BA5A0D" w:rsidRPr="002A79EA">
        <w:t xml:space="preserve">(Beskrivs </w:t>
      </w:r>
      <w:r w:rsidR="006023CB">
        <w:t xml:space="preserve">i dokumentet om </w:t>
      </w:r>
      <w:hyperlink r:id="rId13" w:history="1">
        <w:r w:rsidR="006023CB">
          <w:rPr>
            <w:rStyle w:val="Hyperlnk"/>
          </w:rPr>
          <w:t>s</w:t>
        </w:r>
        <w:r w:rsidR="00D1383A" w:rsidRPr="006023CB">
          <w:rPr>
            <w:rStyle w:val="Hyperlnk"/>
          </w:rPr>
          <w:t>ummeringsregeln</w:t>
        </w:r>
      </w:hyperlink>
      <w:r w:rsidR="00D1383A">
        <w:t>).</w:t>
      </w:r>
      <w:r w:rsidR="00D1383A">
        <w:br/>
      </w:r>
      <w:r w:rsidR="00D1383A">
        <w:br/>
      </w:r>
      <w:r w:rsidR="00A31B83" w:rsidRPr="002A79EA">
        <w:rPr>
          <w:b/>
        </w:rPr>
        <w:t>Inledande punkt 7</w:t>
      </w:r>
    </w:p>
    <w:p w:rsidR="00500652" w:rsidRPr="00500652" w:rsidRDefault="00A31B83" w:rsidP="00500652">
      <w:r w:rsidRPr="002A79EA">
        <w:t>Inledande punkt 7</w:t>
      </w:r>
      <w:r w:rsidR="00500652" w:rsidRPr="002A79EA">
        <w:t xml:space="preserve"> </w:t>
      </w:r>
      <w:r w:rsidR="00500652">
        <w:t>är en beskrivning av hur den s</w:t>
      </w:r>
      <w:r w:rsidR="00851C8B">
        <w:t>å kallade</w:t>
      </w:r>
      <w:r w:rsidR="006023CB">
        <w:t xml:space="preserve"> </w:t>
      </w:r>
      <w:hyperlink r:id="rId14" w:history="1">
        <w:r w:rsidR="006023CB" w:rsidRPr="006023CB">
          <w:rPr>
            <w:rStyle w:val="Hyperlnk"/>
          </w:rPr>
          <w:t>summeringsregeln</w:t>
        </w:r>
      </w:hyperlink>
      <w:r w:rsidR="006023CB">
        <w:t xml:space="preserve"> ska tillämpas</w:t>
      </w:r>
      <w:r w:rsidR="00500652">
        <w:t>.</w:t>
      </w:r>
    </w:p>
    <w:p w:rsidR="00727A72" w:rsidRDefault="00727A72" w:rsidP="000E379D">
      <w:pPr>
        <w:pStyle w:val="Rubrik3"/>
      </w:pPr>
      <w:r>
        <w:br w:type="page"/>
      </w:r>
    </w:p>
    <w:p w:rsidR="00F15393" w:rsidRPr="00F15393" w:rsidRDefault="00856CA7" w:rsidP="00F15393">
      <w:pPr>
        <w:pStyle w:val="Rubrik2"/>
      </w:pPr>
      <w:r>
        <w:lastRenderedPageBreak/>
        <w:t>Klassificering och farokategorier</w:t>
      </w:r>
    </w:p>
    <w:p w:rsidR="00856CA7" w:rsidRDefault="00856CA7" w:rsidP="00856CA7">
      <w:pPr>
        <w:pStyle w:val="Brdtext"/>
      </w:pPr>
      <w:r>
        <w:t>För att kunna sortera in ämnena i de olika kategorierna i del 1 i bilaga1 till Sevesoförordningen måste man veta hur de är klassificerade och vilken farokategori de tillhör.</w:t>
      </w:r>
    </w:p>
    <w:p w:rsidR="00856CA7" w:rsidRPr="00C6308E" w:rsidRDefault="00856CA7" w:rsidP="00856CA7">
      <w:pPr>
        <w:pStyle w:val="Brdtext"/>
      </w:pPr>
      <w:r>
        <w:t>Grunden till detta finns</w:t>
      </w:r>
      <w:r w:rsidR="002004BD">
        <w:t xml:space="preserve"> i </w:t>
      </w:r>
      <w:hyperlink r:id="rId15" w:history="1">
        <w:r w:rsidR="002004BD" w:rsidRPr="006023CB">
          <w:rPr>
            <w:rStyle w:val="Hyperlnk"/>
          </w:rPr>
          <w:t>CLP-förordningen (EG) nr 1272</w:t>
        </w:r>
        <w:r w:rsidRPr="006023CB">
          <w:rPr>
            <w:rStyle w:val="Hyperlnk"/>
          </w:rPr>
          <w:t>/2008</w:t>
        </w:r>
      </w:hyperlink>
      <w:r>
        <w:t>.</w:t>
      </w:r>
      <w:r w:rsidR="00707330">
        <w:t xml:space="preserve"> </w:t>
      </w:r>
      <w:r w:rsidR="00C6308E">
        <w:t xml:space="preserve">CLP-förordningen är EU:s regelverk om </w:t>
      </w:r>
      <w:r w:rsidR="008F2DAF">
        <w:t>klassificering, märkning och förpackning av kemiska ämnen och blandningar.</w:t>
      </w:r>
    </w:p>
    <w:p w:rsidR="00856CA7" w:rsidRDefault="00CB3203" w:rsidP="00856CA7">
      <w:pPr>
        <w:pStyle w:val="Brdtext"/>
      </w:pPr>
      <w:r w:rsidRPr="002A79EA">
        <w:t>Indelningen i f</w:t>
      </w:r>
      <w:r w:rsidR="009E5BA0" w:rsidRPr="002A79EA">
        <w:t xml:space="preserve">arokategorier </w:t>
      </w:r>
      <w:r w:rsidR="009E5BA0">
        <w:t>är de</w:t>
      </w:r>
      <w:r w:rsidR="00DF67C3">
        <w:t xml:space="preserve">n nivå </w:t>
      </w:r>
      <w:r w:rsidR="009E5BA0">
        <w:t>som är viktig för</w:t>
      </w:r>
      <w:r w:rsidR="008F2DAF">
        <w:t xml:space="preserve"> tillämpningen av Sevesolagstiftningen</w:t>
      </w:r>
      <w:r w:rsidR="009E5BA0">
        <w:t>.</w:t>
      </w:r>
    </w:p>
    <w:p w:rsidR="00BD7D3D" w:rsidRPr="006B4D50" w:rsidRDefault="00707330" w:rsidP="00856CA7">
      <w:pPr>
        <w:pStyle w:val="Brdtext"/>
      </w:pPr>
      <w:r>
        <w:t>För explosiva ämnen, blandningar och föremål (</w:t>
      </w:r>
      <w:r w:rsidR="005E08D7" w:rsidRPr="002A79EA">
        <w:t>punkterna</w:t>
      </w:r>
      <w:r w:rsidR="005E08D7">
        <w:rPr>
          <w:color w:val="FF0000"/>
        </w:rPr>
        <w:t xml:space="preserve"> </w:t>
      </w:r>
      <w:r>
        <w:t>P</w:t>
      </w:r>
      <w:r w:rsidR="00071A61">
        <w:t>1a och P1b) används uttrycket riskgrupp</w:t>
      </w:r>
      <w:r w:rsidR="00CB3203">
        <w:t xml:space="preserve"> </w:t>
      </w:r>
      <w:r w:rsidR="00BD7D3D" w:rsidRPr="002A79EA">
        <w:t>(hämtat från lagstiftningen för transport av farligt gods)</w:t>
      </w:r>
      <w:r w:rsidR="00BD7D3D">
        <w:t xml:space="preserve"> </w:t>
      </w:r>
      <w:r w:rsidR="00071A61">
        <w:t>vid klassificeringen</w:t>
      </w:r>
      <w:r w:rsidR="00CB3203">
        <w:t>.</w:t>
      </w:r>
    </w:p>
    <w:p w:rsidR="00BD7D3D" w:rsidRPr="00BD7D3D" w:rsidRDefault="00EA4CE3" w:rsidP="00AA21D9">
      <w:pPr>
        <w:pStyle w:val="Rubrik3"/>
      </w:pPr>
      <w:r>
        <w:t>Avsnitt</w:t>
      </w:r>
      <w:r w:rsidR="005E08D7">
        <w:t>,</w:t>
      </w:r>
      <w:r w:rsidR="00C7064A">
        <w:t xml:space="preserve"> </w:t>
      </w:r>
      <w:r w:rsidR="005E08D7" w:rsidRPr="002A79EA">
        <w:t>poster och</w:t>
      </w:r>
      <w:r w:rsidR="008E7883" w:rsidRPr="002A79EA">
        <w:t xml:space="preserve"> </w:t>
      </w:r>
      <w:r w:rsidR="008E7883">
        <w:t>punkter</w:t>
      </w:r>
      <w:r w:rsidR="005E08D7">
        <w:t xml:space="preserve"> </w:t>
      </w:r>
      <w:r w:rsidR="00AA21D9">
        <w:br/>
      </w:r>
    </w:p>
    <w:p w:rsidR="000729F7" w:rsidRPr="006F47CB" w:rsidRDefault="005B0193" w:rsidP="006F47CB">
      <w:pPr>
        <w:rPr>
          <w:b/>
        </w:rPr>
      </w:pPr>
      <w:r w:rsidRPr="006F47CB">
        <w:rPr>
          <w:b/>
        </w:rPr>
        <w:t>Avsnitt H- Hälsofaror</w:t>
      </w:r>
    </w:p>
    <w:p w:rsidR="005B0193" w:rsidRDefault="00254009" w:rsidP="005B0193">
      <w:pPr>
        <w:rPr>
          <w:b/>
        </w:rPr>
      </w:pPr>
      <w:r>
        <w:rPr>
          <w:b/>
        </w:rPr>
        <w:t>H1 Akut toxicitet</w:t>
      </w:r>
    </w:p>
    <w:p w:rsidR="00E835FA" w:rsidRDefault="00E835FA">
      <w:pPr>
        <w:spacing w:line="240" w:lineRule="auto"/>
      </w:pPr>
      <w:r>
        <w:t>Alla ämnen som är klassificerade som akut toxiska med farokategori 1, i en eller flera av de möjliga exponeringsvägarna, (oral, dermal, inhalation ånga, inhalation aerosol, inhalation gas) ingår här.</w:t>
      </w:r>
    </w:p>
    <w:p w:rsidR="00E835FA" w:rsidRDefault="00E835FA">
      <w:pPr>
        <w:spacing w:line="240" w:lineRule="auto"/>
      </w:pPr>
      <w:r>
        <w:t>Gränsmängderna är 5 ton för den lägre kravnivån och 20 ton för den högre.</w:t>
      </w:r>
    </w:p>
    <w:p w:rsidR="00E835FA" w:rsidRDefault="00E835FA">
      <w:pPr>
        <w:spacing w:line="240" w:lineRule="auto"/>
      </w:pPr>
    </w:p>
    <w:p w:rsidR="00E835FA" w:rsidRDefault="00E835FA">
      <w:pPr>
        <w:spacing w:line="240" w:lineRule="auto"/>
        <w:rPr>
          <w:b/>
        </w:rPr>
      </w:pPr>
      <w:r>
        <w:rPr>
          <w:b/>
        </w:rPr>
        <w:t>H2 Akut toxicitet</w:t>
      </w:r>
    </w:p>
    <w:p w:rsidR="00980DA9" w:rsidRDefault="00E835FA">
      <w:pPr>
        <w:spacing w:line="240" w:lineRule="auto"/>
      </w:pPr>
      <w:r>
        <w:t>Alla ämnen som är klassificerade som akut toxiska med farokategori 2, oav</w:t>
      </w:r>
      <w:r w:rsidR="00980DA9">
        <w:t>sett exponeringsväg räknas hit.</w:t>
      </w:r>
    </w:p>
    <w:p w:rsidR="007065C9" w:rsidRDefault="00E835FA">
      <w:pPr>
        <w:spacing w:line="240" w:lineRule="auto"/>
      </w:pPr>
      <w:r>
        <w:t>När det gäller ämnen som är klassificerade som akut toxiska med farokategori 3 är det ski</w:t>
      </w:r>
      <w:r w:rsidR="007065C9">
        <w:t xml:space="preserve">llnad mellan exponeringsvägarna. Det är endast om ämnet klassificeras som akut toxiskt i någon av de tre exponeringsvägarna via inhalation som ämnet ska räknas hit. Dock finns ett undantag för ämnen som inte kan klassificeras för inhalation eller </w:t>
      </w:r>
      <w:proofErr w:type="spellStart"/>
      <w:r w:rsidR="007065C9">
        <w:t>dermalt</w:t>
      </w:r>
      <w:proofErr w:type="spellEnd"/>
      <w:r w:rsidR="007065C9">
        <w:t xml:space="preserve"> up</w:t>
      </w:r>
      <w:r w:rsidR="00980DA9">
        <w:t>ptag. De</w:t>
      </w:r>
      <w:r w:rsidR="00EA4CE3">
        <w:t>ssa ämnen ska räknas till de</w:t>
      </w:r>
      <w:r w:rsidR="00E67D10">
        <w:t xml:space="preserve">nna </w:t>
      </w:r>
      <w:r w:rsidR="00E67D10" w:rsidRPr="002A79EA">
        <w:t>p</w:t>
      </w:r>
      <w:r w:rsidR="005E08D7" w:rsidRPr="002A79EA">
        <w:t>ost</w:t>
      </w:r>
      <w:r w:rsidR="007065C9">
        <w:t xml:space="preserve"> om de klassificeras som akut toxiska med farokategori 3 via oral exponering.</w:t>
      </w:r>
    </w:p>
    <w:p w:rsidR="003B3907" w:rsidRDefault="007065C9">
      <w:pPr>
        <w:spacing w:line="240" w:lineRule="auto"/>
      </w:pPr>
      <w:r>
        <w:t>Gränsmängderna är 50 ton för den lägre kravnivån och 200 ton för den högre.</w:t>
      </w:r>
    </w:p>
    <w:p w:rsidR="003B3907" w:rsidRDefault="003B3907">
      <w:pPr>
        <w:spacing w:line="240" w:lineRule="auto"/>
      </w:pPr>
    </w:p>
    <w:p w:rsidR="003B3907" w:rsidRDefault="003B3907">
      <w:pPr>
        <w:spacing w:line="240" w:lineRule="auto"/>
      </w:pPr>
      <w:r>
        <w:rPr>
          <w:b/>
        </w:rPr>
        <w:t xml:space="preserve">H3 </w:t>
      </w:r>
      <w:proofErr w:type="gramStart"/>
      <w:r>
        <w:rPr>
          <w:b/>
        </w:rPr>
        <w:t>STOT</w:t>
      </w:r>
      <w:proofErr w:type="gramEnd"/>
      <w:r>
        <w:rPr>
          <w:b/>
        </w:rPr>
        <w:t xml:space="preserve"> specifik organtoxicitet</w:t>
      </w:r>
      <w:r w:rsidR="00254009">
        <w:rPr>
          <w:b/>
        </w:rPr>
        <w:t xml:space="preserve"> – enstaka exponering</w:t>
      </w:r>
    </w:p>
    <w:p w:rsidR="00B67DE6" w:rsidRDefault="00B67DE6">
      <w:pPr>
        <w:spacing w:line="240" w:lineRule="auto"/>
      </w:pPr>
      <w:r>
        <w:t xml:space="preserve">Ämnen som är klassificerade </w:t>
      </w:r>
      <w:r w:rsidR="00254009">
        <w:t>i farokategori 1</w:t>
      </w:r>
      <w:r w:rsidR="00980DA9">
        <w:t>,</w:t>
      </w:r>
      <w:r>
        <w:t xml:space="preserve"> </w:t>
      </w:r>
      <w:proofErr w:type="gramStart"/>
      <w:r>
        <w:t>STOT</w:t>
      </w:r>
      <w:proofErr w:type="gramEnd"/>
      <w:r>
        <w:t xml:space="preserve"> SE räknas hit.</w:t>
      </w:r>
    </w:p>
    <w:p w:rsidR="00F528BD" w:rsidRDefault="00B67DE6">
      <w:pPr>
        <w:spacing w:line="240" w:lineRule="auto"/>
      </w:pPr>
      <w:r>
        <w:t>Gränsmängderna är 50 ton för den lägre kravnivån och 200 ton för den högre.</w:t>
      </w:r>
    </w:p>
    <w:p w:rsidR="00F528BD" w:rsidRDefault="00F528BD">
      <w:pPr>
        <w:spacing w:line="240" w:lineRule="auto"/>
      </w:pPr>
    </w:p>
    <w:p w:rsidR="00F528BD" w:rsidRPr="006F47CB" w:rsidRDefault="00F528BD" w:rsidP="006F47CB">
      <w:pPr>
        <w:rPr>
          <w:b/>
        </w:rPr>
      </w:pPr>
      <w:r w:rsidRPr="006F47CB">
        <w:rPr>
          <w:b/>
        </w:rPr>
        <w:t>Avsnitt P – Fysikaliska faror</w:t>
      </w:r>
    </w:p>
    <w:p w:rsidR="006B4D50" w:rsidRPr="00B32E58" w:rsidRDefault="00A24D52" w:rsidP="00A24D52">
      <w:pPr>
        <w:rPr>
          <w:b/>
        </w:rPr>
      </w:pPr>
      <w:r w:rsidRPr="006F47CB">
        <w:rPr>
          <w:b/>
        </w:rPr>
        <w:t>P1a Explosiva ämnen, blandningar och föremål</w:t>
      </w:r>
    </w:p>
    <w:p w:rsidR="006B4D50" w:rsidRDefault="006B4D50" w:rsidP="00A24D52">
      <w:r>
        <w:t>Hit räknas:</w:t>
      </w:r>
    </w:p>
    <w:p w:rsidR="00A24D52" w:rsidRDefault="006B4D50" w:rsidP="00AA21D9">
      <w:pPr>
        <w:pStyle w:val="Punktlista"/>
      </w:pPr>
      <w:r>
        <w:t>Instabila explosiva ämnen</w:t>
      </w:r>
    </w:p>
    <w:p w:rsidR="006B4D50" w:rsidRDefault="006B4D50" w:rsidP="00AA21D9">
      <w:pPr>
        <w:pStyle w:val="Punktlista"/>
      </w:pPr>
      <w:r>
        <w:t>Explosiva ämnen, blandningar eller föremål i riskgrupp 1.1, 1.2, 1.3, 1.5 ell</w:t>
      </w:r>
      <w:r w:rsidR="004609CC">
        <w:t>e</w:t>
      </w:r>
      <w:r>
        <w:t>r 1.6</w:t>
      </w:r>
      <w:r w:rsidR="007A7B7F">
        <w:t xml:space="preserve"> enligt </w:t>
      </w:r>
      <w:r w:rsidR="007A7B7F" w:rsidRPr="002A79EA">
        <w:t>lagstiftingen för transport av farligt gods</w:t>
      </w:r>
      <w:r w:rsidR="00537DD1" w:rsidRPr="002A79EA">
        <w:t xml:space="preserve"> på väg och järnväg</w:t>
      </w:r>
      <w:r w:rsidR="007A7B7F" w:rsidRPr="002A79EA">
        <w:t>.</w:t>
      </w:r>
    </w:p>
    <w:p w:rsidR="006B4D50" w:rsidRDefault="006B4D50" w:rsidP="00AA21D9">
      <w:pPr>
        <w:pStyle w:val="Punktlista"/>
      </w:pPr>
      <w:r>
        <w:t>Ämnen eller blandningar som har explosiva egenskaper enligt metod A.14</w:t>
      </w:r>
      <w:r w:rsidR="003262FD">
        <w:t xml:space="preserve"> i förordning (EG) nr 440/2008 förutsatt att de inte tillhör faroklasserna Organiska peroxider eller Självreaktiva ämnen och blandningar.</w:t>
      </w:r>
    </w:p>
    <w:p w:rsidR="003262FD" w:rsidRDefault="003262FD" w:rsidP="00A24D52">
      <w:r>
        <w:t>Gränsmängderna är 10 ton för den lägre kravnivån och 50 ton för den högre.</w:t>
      </w:r>
    </w:p>
    <w:p w:rsidR="00254009" w:rsidRDefault="00254009" w:rsidP="00F528BD">
      <w:pPr>
        <w:rPr>
          <w:b/>
        </w:rPr>
      </w:pPr>
      <w:r>
        <w:rPr>
          <w:b/>
        </w:rPr>
        <w:lastRenderedPageBreak/>
        <w:t>P1b Explosiva ämnen, blandningar och föremål</w:t>
      </w:r>
    </w:p>
    <w:p w:rsidR="00376F15" w:rsidRPr="002A79EA" w:rsidRDefault="00A67EAD" w:rsidP="00F528BD">
      <w:r>
        <w:t>Här ingår E</w:t>
      </w:r>
      <w:r w:rsidR="00376F15">
        <w:t>xplosiva ämnen blandningar och föremål, riskgrupp 1.4</w:t>
      </w:r>
      <w:r w:rsidR="00537DD1">
        <w:t xml:space="preserve"> </w:t>
      </w:r>
      <w:r w:rsidR="00537DD1" w:rsidRPr="002A79EA">
        <w:t>enligt lagstiftningen för transport av farligt gods på väg och järnväg</w:t>
      </w:r>
      <w:r w:rsidR="00376F15" w:rsidRPr="002A79EA">
        <w:t>.</w:t>
      </w:r>
    </w:p>
    <w:p w:rsidR="00376F15" w:rsidRDefault="00376F15" w:rsidP="00F528BD">
      <w:r>
        <w:t>Gränsmängderna är 50 ton för den lägre kravnivån och 200 ton för den högre.</w:t>
      </w:r>
    </w:p>
    <w:p w:rsidR="00A67EAD" w:rsidRDefault="00A67EAD" w:rsidP="00F528BD"/>
    <w:p w:rsidR="00A67EAD" w:rsidRDefault="00A67EAD" w:rsidP="00F528BD">
      <w:r>
        <w:rPr>
          <w:b/>
        </w:rPr>
        <w:t>P2 Brandfarliga gaser</w:t>
      </w:r>
    </w:p>
    <w:p w:rsidR="00A67EAD" w:rsidRDefault="00A67EAD" w:rsidP="00F528BD">
      <w:r>
        <w:t>Här ingår Brandfarliga gaser med farokategori 1 eller 2.</w:t>
      </w:r>
    </w:p>
    <w:p w:rsidR="00A67EAD" w:rsidRDefault="00A67EAD" w:rsidP="00F528BD">
      <w:r>
        <w:t>Gränsmängderna är 10 ton för den lägre kravnivån och 50 ton för den högre.</w:t>
      </w:r>
    </w:p>
    <w:p w:rsidR="00F13327" w:rsidRDefault="00F13327" w:rsidP="00F528BD"/>
    <w:p w:rsidR="00F13327" w:rsidRDefault="00F13327" w:rsidP="00F528BD">
      <w:r>
        <w:rPr>
          <w:b/>
        </w:rPr>
        <w:t>P3a</w:t>
      </w:r>
      <w:r>
        <w:t xml:space="preserve"> </w:t>
      </w:r>
      <w:r>
        <w:rPr>
          <w:b/>
        </w:rPr>
        <w:t>Brandfarliga aerosoler</w:t>
      </w:r>
    </w:p>
    <w:p w:rsidR="00F13327" w:rsidRDefault="00F13327" w:rsidP="00F528BD">
      <w:r>
        <w:t xml:space="preserve">Här ingår ”Brandfarliga” aerosoler </w:t>
      </w:r>
      <w:r w:rsidR="00AF5868">
        <w:t xml:space="preserve">i kategori 1 eller 2 som innehåller brandfarliga gaser </w:t>
      </w:r>
      <w:r w:rsidR="006E71E5">
        <w:t>med faro</w:t>
      </w:r>
      <w:r w:rsidR="00AF5868">
        <w:t xml:space="preserve">kategori 1 eller 2, eller brandfarliga vätskor </w:t>
      </w:r>
      <w:r w:rsidR="006E71E5">
        <w:t>med faro</w:t>
      </w:r>
      <w:r w:rsidR="00AF5868">
        <w:t>kategori 1.</w:t>
      </w:r>
    </w:p>
    <w:p w:rsidR="00254009" w:rsidRDefault="00AF5868" w:rsidP="00F528BD">
      <w:r>
        <w:t xml:space="preserve">Gränsmängderna är 150 ton </w:t>
      </w:r>
      <w:r w:rsidRPr="000D722A">
        <w:t>(netto</w:t>
      </w:r>
      <w:r w:rsidR="00E90A3A">
        <w:rPr>
          <w:rStyle w:val="Fotnotsreferens"/>
        </w:rPr>
        <w:footnoteReference w:id="3"/>
      </w:r>
      <w:r w:rsidRPr="000D722A">
        <w:t xml:space="preserve">) </w:t>
      </w:r>
      <w:r>
        <w:t xml:space="preserve">för den lägre kravnivån och 500 ton </w:t>
      </w:r>
      <w:r w:rsidRPr="000D722A">
        <w:t>(netto</w:t>
      </w:r>
      <w:r w:rsidR="00E90A3A">
        <w:rPr>
          <w:vertAlign w:val="superscript"/>
        </w:rPr>
        <w:t>3</w:t>
      </w:r>
      <w:r w:rsidRPr="000D722A">
        <w:t>)</w:t>
      </w:r>
      <w:r w:rsidR="00CF6134" w:rsidRPr="000D722A">
        <w:t xml:space="preserve"> </w:t>
      </w:r>
      <w:r>
        <w:t>för den högre.</w:t>
      </w:r>
    </w:p>
    <w:p w:rsidR="00AF5868" w:rsidRDefault="00AF5868" w:rsidP="00F528BD"/>
    <w:p w:rsidR="00AF5868" w:rsidRDefault="00AF5868" w:rsidP="00F528BD">
      <w:pPr>
        <w:rPr>
          <w:b/>
        </w:rPr>
      </w:pPr>
      <w:r>
        <w:rPr>
          <w:b/>
        </w:rPr>
        <w:t>P3b Brandfarliga aerosoler</w:t>
      </w:r>
    </w:p>
    <w:p w:rsidR="00AF5868" w:rsidRDefault="00AF5868" w:rsidP="00F528BD">
      <w:r>
        <w:t xml:space="preserve">Här ingår brandfarliga aerosoler kategori 1 eller 2 som varken innehåller </w:t>
      </w:r>
      <w:r w:rsidR="00A6199A">
        <w:t xml:space="preserve">brandfarliga gaser med farokategori 1 eller 2, eller </w:t>
      </w:r>
      <w:r>
        <w:t xml:space="preserve">brandfarliga vätskor </w:t>
      </w:r>
      <w:r w:rsidR="006E71E5">
        <w:t>med faro</w:t>
      </w:r>
      <w:r>
        <w:t>kategori 1.</w:t>
      </w:r>
    </w:p>
    <w:p w:rsidR="00AF5868" w:rsidRDefault="00AF5868" w:rsidP="00AF5868">
      <w:r>
        <w:t xml:space="preserve">Gränsmängderna är 5000 ton </w:t>
      </w:r>
      <w:r w:rsidRPr="000D722A">
        <w:t>(netto</w:t>
      </w:r>
      <w:r w:rsidR="00280AA7">
        <w:rPr>
          <w:vertAlign w:val="superscript"/>
        </w:rPr>
        <w:t>3</w:t>
      </w:r>
      <w:r w:rsidRPr="000D722A">
        <w:t xml:space="preserve">) </w:t>
      </w:r>
      <w:r>
        <w:t xml:space="preserve">för den lägre kravnivån och 50 000 ton </w:t>
      </w:r>
      <w:r w:rsidRPr="000D722A">
        <w:t>(netto</w:t>
      </w:r>
      <w:r w:rsidR="00280AA7">
        <w:rPr>
          <w:vertAlign w:val="superscript"/>
        </w:rPr>
        <w:t>3</w:t>
      </w:r>
      <w:r w:rsidRPr="000D722A">
        <w:t xml:space="preserve">) </w:t>
      </w:r>
      <w:r>
        <w:t>för den högre.</w:t>
      </w:r>
    </w:p>
    <w:p w:rsidR="006E71E5" w:rsidRDefault="006E71E5" w:rsidP="00AF5868"/>
    <w:p w:rsidR="006E71E5" w:rsidRDefault="006E71E5" w:rsidP="00AF5868">
      <w:r>
        <w:rPr>
          <w:b/>
        </w:rPr>
        <w:t>P4 Oxiderande gaser</w:t>
      </w:r>
    </w:p>
    <w:p w:rsidR="006E71E5" w:rsidRDefault="006E71E5" w:rsidP="00AF5868">
      <w:r>
        <w:t>Här ingår oxiderande gaser med farokategori 1</w:t>
      </w:r>
      <w:r w:rsidR="0032191D">
        <w:t>.</w:t>
      </w:r>
    </w:p>
    <w:p w:rsidR="0032191D" w:rsidRDefault="0032191D" w:rsidP="00AF5868">
      <w:r>
        <w:t>Gränsmängderna är 50 ton för den lägre kravnivån och 200 ton för den högre.</w:t>
      </w:r>
    </w:p>
    <w:p w:rsidR="0032191D" w:rsidRDefault="0032191D" w:rsidP="00AF5868"/>
    <w:p w:rsidR="0032191D" w:rsidRDefault="0032191D" w:rsidP="00AF5868">
      <w:r>
        <w:rPr>
          <w:b/>
        </w:rPr>
        <w:t>P5a Brandfarliga vätskor</w:t>
      </w:r>
    </w:p>
    <w:p w:rsidR="0032191D" w:rsidRDefault="00C221BC" w:rsidP="00AF5868">
      <w:r>
        <w:t>Här ingår Brandfarliga vätskor med farokategori 1</w:t>
      </w:r>
      <w:r w:rsidR="00303FDE" w:rsidRPr="00D0498D">
        <w:t>.</w:t>
      </w:r>
    </w:p>
    <w:p w:rsidR="00C221BC" w:rsidRDefault="00C221BC" w:rsidP="00AF5868">
      <w:r>
        <w:t>Dessutom räknas brandfarliga vätskor med farokategori 2 eller 3 som hålls vid en temperatur över sin kokpunkt och andra vätskor med flampunkt ≤ 60° C</w:t>
      </w:r>
      <w:r w:rsidR="00D26406">
        <w:t xml:space="preserve"> som hålls vid en temperatur över sin kokpunkt.</w:t>
      </w:r>
    </w:p>
    <w:p w:rsidR="00F77A82" w:rsidRDefault="00F77A82" w:rsidP="00AF5868">
      <w:r>
        <w:t>Gränsmängderna är 10 ton för den lägre kravnivån och 50 för den högre.</w:t>
      </w:r>
    </w:p>
    <w:p w:rsidR="00D26406" w:rsidRDefault="00D26406" w:rsidP="00AF5868"/>
    <w:p w:rsidR="00D26406" w:rsidRDefault="00D26406" w:rsidP="00AF5868">
      <w:r>
        <w:rPr>
          <w:b/>
        </w:rPr>
        <w:t>P5b Brandfarliga vätskor</w:t>
      </w:r>
    </w:p>
    <w:p w:rsidR="00F77A82" w:rsidRDefault="00F77A82" w:rsidP="00AF5868">
      <w:r>
        <w:t>Här ingår Brandfarliga vätskor med farokategori 2 eller 3 där särskilda processförhållanden, såsom högt tryck eller hög temperatur kan ge upphov till fara för allvarlig olyckshändelse eller andra vätskor med flampunkt ≤ 60° C där särskilda processförhållanden såsom högt tryck eller hög temperatur kan ge upphov till fara för allvarlig olyckshändelse.</w:t>
      </w:r>
    </w:p>
    <w:p w:rsidR="00F77A82" w:rsidRDefault="00F77A82" w:rsidP="00AF5868">
      <w:r>
        <w:t>Gränsmängderna är 50 ton för den lägre kravnivån och 200 ton för den högre.</w:t>
      </w:r>
    </w:p>
    <w:p w:rsidR="000A1FE5" w:rsidRDefault="000A1FE5" w:rsidP="00AF5868"/>
    <w:p w:rsidR="00B32E58" w:rsidRDefault="00B32E58">
      <w:pPr>
        <w:spacing w:line="240" w:lineRule="auto"/>
        <w:rPr>
          <w:b/>
        </w:rPr>
      </w:pPr>
      <w:r>
        <w:rPr>
          <w:b/>
        </w:rPr>
        <w:br w:type="page"/>
      </w:r>
    </w:p>
    <w:p w:rsidR="000A1FE5" w:rsidRDefault="00C94EED" w:rsidP="00AF5868">
      <w:r>
        <w:rPr>
          <w:b/>
        </w:rPr>
        <w:lastRenderedPageBreak/>
        <w:t>P5c Brandfarliga vätskor</w:t>
      </w:r>
    </w:p>
    <w:p w:rsidR="00C94EED" w:rsidRDefault="00C94EED" w:rsidP="00AF5868">
      <w:r>
        <w:t>Här ingår brandfarliga vätskor med farokategori 2 eller 3 som inte omfattas av P5a eller P5b.</w:t>
      </w:r>
    </w:p>
    <w:p w:rsidR="00C94EED" w:rsidRDefault="00C94EED" w:rsidP="00AF5868">
      <w:r>
        <w:t>Gränsmängderna är 5000 ton för den lägre kravnivån och 50 000 ton för den högre.</w:t>
      </w:r>
    </w:p>
    <w:p w:rsidR="00B00826" w:rsidRDefault="00B00826" w:rsidP="00AF5868"/>
    <w:p w:rsidR="00B00826" w:rsidRDefault="00B00826" w:rsidP="00AF5868">
      <w:r>
        <w:rPr>
          <w:b/>
        </w:rPr>
        <w:t>P6a Självreaktiva ämnen och blandningar och Organiska peroxider</w:t>
      </w:r>
    </w:p>
    <w:p w:rsidR="00B00826" w:rsidRDefault="00B00826" w:rsidP="00AF5868">
      <w:r>
        <w:t>Här ingår självreaktiva ämnen och blandningar, typ A eller B samt</w:t>
      </w:r>
    </w:p>
    <w:p w:rsidR="00B00826" w:rsidRDefault="00B00826" w:rsidP="00AF5868">
      <w:pPr>
        <w:rPr>
          <w:b/>
        </w:rPr>
      </w:pPr>
      <w:r>
        <w:t>Organiska peroxider, typ A eller B</w:t>
      </w:r>
      <w:r>
        <w:rPr>
          <w:b/>
        </w:rPr>
        <w:t>.</w:t>
      </w:r>
    </w:p>
    <w:p w:rsidR="00B00826" w:rsidRDefault="00B00826" w:rsidP="00AF5868">
      <w:r>
        <w:t>Gränsmängderna är 10 ton för den lägre kravnivån och 50 ton för den högre.</w:t>
      </w:r>
    </w:p>
    <w:p w:rsidR="00B00826" w:rsidRDefault="00B00826" w:rsidP="00AF5868"/>
    <w:p w:rsidR="00B00826" w:rsidRPr="00B00826" w:rsidRDefault="00B00826" w:rsidP="00AF5868">
      <w:pPr>
        <w:rPr>
          <w:b/>
        </w:rPr>
      </w:pPr>
      <w:r>
        <w:rPr>
          <w:b/>
        </w:rPr>
        <w:t>P6b Självreaktiva ämnen och blandningar och Organiska peroxider</w:t>
      </w:r>
    </w:p>
    <w:p w:rsidR="00B00826" w:rsidRDefault="00B00826" w:rsidP="00B00826">
      <w:r>
        <w:t>Här ingår självreaktiva ämnen och blandningar, typ C, D, E eller F samt</w:t>
      </w:r>
    </w:p>
    <w:p w:rsidR="00B00826" w:rsidRDefault="00B00826" w:rsidP="00B00826">
      <w:pPr>
        <w:rPr>
          <w:b/>
        </w:rPr>
      </w:pPr>
      <w:r>
        <w:t>Organiska peroxider, typ C, D, E eller F</w:t>
      </w:r>
      <w:r>
        <w:rPr>
          <w:b/>
        </w:rPr>
        <w:t>.</w:t>
      </w:r>
    </w:p>
    <w:p w:rsidR="00031B14" w:rsidRDefault="00B00826" w:rsidP="00B00826">
      <w:r>
        <w:t>Gränsmängderna är 50 ton för den lägre kravnivån och 200 ton för den högre.</w:t>
      </w:r>
    </w:p>
    <w:p w:rsidR="00031B14" w:rsidRDefault="00031B14" w:rsidP="00B00826"/>
    <w:p w:rsidR="00031B14" w:rsidRDefault="00031B14" w:rsidP="00B00826">
      <w:r>
        <w:rPr>
          <w:b/>
        </w:rPr>
        <w:t>P7 Pyrofora vätskor och fasta ämnen</w:t>
      </w:r>
    </w:p>
    <w:p w:rsidR="00031B14" w:rsidRDefault="00031B14" w:rsidP="00B00826">
      <w:r>
        <w:t>Här ingår Pyrofora vätskor med farokategori 1 samt</w:t>
      </w:r>
    </w:p>
    <w:p w:rsidR="00031B14" w:rsidRDefault="00031B14" w:rsidP="00B00826">
      <w:r>
        <w:t>Pyrofora fasta ämnen med farokategori 1</w:t>
      </w:r>
    </w:p>
    <w:p w:rsidR="00031B14" w:rsidRDefault="00031B14" w:rsidP="00031B14">
      <w:r>
        <w:t>Gränsmängderna är 50 ton för den lägre kravnivån och 200 ton för den högre.</w:t>
      </w:r>
    </w:p>
    <w:p w:rsidR="00EF2FD0" w:rsidRDefault="00EF2FD0" w:rsidP="00B00826"/>
    <w:p w:rsidR="00EF2FD0" w:rsidRDefault="00EF2FD0" w:rsidP="00B00826">
      <w:pPr>
        <w:rPr>
          <w:b/>
        </w:rPr>
      </w:pPr>
      <w:r>
        <w:rPr>
          <w:b/>
        </w:rPr>
        <w:t>P8 Oxiderande vätskor och fasta ämnen</w:t>
      </w:r>
    </w:p>
    <w:p w:rsidR="00EF2FD0" w:rsidRDefault="00EF2FD0" w:rsidP="00B00826">
      <w:r>
        <w:t>Här ingår Oxiderande vätskor med farokategori 1, 2 eller 3 samt</w:t>
      </w:r>
    </w:p>
    <w:p w:rsidR="00EF2FD0" w:rsidRDefault="00EF2FD0" w:rsidP="00B00826">
      <w:r>
        <w:t>Oxiderande fasta ämnen med farokategori 1, 2 eller 3</w:t>
      </w:r>
    </w:p>
    <w:p w:rsidR="002A79EA" w:rsidRDefault="00EF2FD0" w:rsidP="00EF2FD0">
      <w:r>
        <w:t>Gränsmängderna är 50 ton för den lägre kravnivån och 200 ton för den högre.</w:t>
      </w:r>
    </w:p>
    <w:p w:rsidR="002A79EA" w:rsidRDefault="002A79EA">
      <w:pPr>
        <w:spacing w:line="240" w:lineRule="auto"/>
      </w:pPr>
      <w:r>
        <w:br w:type="page"/>
      </w:r>
    </w:p>
    <w:p w:rsidR="00EF2FD0" w:rsidRDefault="00EF2FD0" w:rsidP="00EF2FD0"/>
    <w:p w:rsidR="004A4DDA" w:rsidRDefault="004A4DDA" w:rsidP="00EF2FD0"/>
    <w:p w:rsidR="004A4DDA" w:rsidRPr="006F47CB" w:rsidRDefault="00571C9F" w:rsidP="006F47CB">
      <w:pPr>
        <w:rPr>
          <w:b/>
        </w:rPr>
      </w:pPr>
      <w:r w:rsidRPr="006F47CB">
        <w:rPr>
          <w:b/>
        </w:rPr>
        <w:t xml:space="preserve">Avsnitt </w:t>
      </w:r>
      <w:r w:rsidR="004A4DDA" w:rsidRPr="006F47CB">
        <w:rPr>
          <w:b/>
        </w:rPr>
        <w:t>E</w:t>
      </w:r>
      <w:r w:rsidRPr="006F47CB">
        <w:rPr>
          <w:b/>
        </w:rPr>
        <w:t xml:space="preserve"> - </w:t>
      </w:r>
      <w:r w:rsidR="004A4DDA" w:rsidRPr="006F47CB">
        <w:rPr>
          <w:b/>
        </w:rPr>
        <w:t>Miljöfarlighet</w:t>
      </w:r>
    </w:p>
    <w:p w:rsidR="004A4DDA" w:rsidRDefault="004A4DDA" w:rsidP="004A4DDA">
      <w:pPr>
        <w:rPr>
          <w:b/>
        </w:rPr>
      </w:pPr>
      <w:r>
        <w:rPr>
          <w:b/>
        </w:rPr>
        <w:t xml:space="preserve">E1 </w:t>
      </w:r>
    </w:p>
    <w:p w:rsidR="004A4DDA" w:rsidRDefault="004A4DDA" w:rsidP="004A4DDA">
      <w:r>
        <w:t>Här ingår miljöfarliga ämnen i kategorin Farligt för vattenmiljön i kategorin akut 1 eller kronisk 1</w:t>
      </w:r>
      <w:r w:rsidR="00DC4910">
        <w:t>.</w:t>
      </w:r>
    </w:p>
    <w:p w:rsidR="00DC4910" w:rsidRDefault="00DC4910" w:rsidP="004A4DDA">
      <w:r>
        <w:t>Gränsmängderna är 100 ton för den lägre kravnivån och 200 för den högre.</w:t>
      </w:r>
    </w:p>
    <w:p w:rsidR="004A4DDA" w:rsidRDefault="004A4DDA" w:rsidP="004A4DDA"/>
    <w:p w:rsidR="004A4DDA" w:rsidRDefault="004A4DDA" w:rsidP="004A4DDA">
      <w:pPr>
        <w:rPr>
          <w:b/>
        </w:rPr>
      </w:pPr>
      <w:r>
        <w:rPr>
          <w:b/>
        </w:rPr>
        <w:t>E2</w:t>
      </w:r>
    </w:p>
    <w:p w:rsidR="004A4DDA" w:rsidRDefault="004A4DDA" w:rsidP="004A4DDA">
      <w:r>
        <w:t xml:space="preserve">Här ingår </w:t>
      </w:r>
      <w:r w:rsidR="00DC4910">
        <w:t>miljöfarliga ämnen i kategorin Farligt för vattenmiljön i farokategorin kronisk 2.</w:t>
      </w:r>
    </w:p>
    <w:p w:rsidR="00DC4910" w:rsidRDefault="00DC4910" w:rsidP="004A4DDA">
      <w:r>
        <w:t>Gränsmängderna är 200 ton för den lägre kravnivån och 500 för den högre.</w:t>
      </w:r>
    </w:p>
    <w:p w:rsidR="00DC4910" w:rsidRDefault="00DC4910" w:rsidP="004A4DDA"/>
    <w:p w:rsidR="00DC4910" w:rsidRPr="006F47CB" w:rsidRDefault="00571C9F" w:rsidP="006F47CB">
      <w:pPr>
        <w:rPr>
          <w:b/>
        </w:rPr>
      </w:pPr>
      <w:r w:rsidRPr="006F47CB">
        <w:rPr>
          <w:b/>
        </w:rPr>
        <w:t xml:space="preserve">Avsnitt </w:t>
      </w:r>
      <w:r w:rsidR="00DC4910" w:rsidRPr="006F47CB">
        <w:rPr>
          <w:b/>
        </w:rPr>
        <w:t xml:space="preserve">O </w:t>
      </w:r>
      <w:r w:rsidRPr="006F47CB">
        <w:rPr>
          <w:b/>
        </w:rPr>
        <w:t xml:space="preserve">- </w:t>
      </w:r>
      <w:r w:rsidR="00DC4910" w:rsidRPr="006F47CB">
        <w:rPr>
          <w:b/>
        </w:rPr>
        <w:t>Andra faror</w:t>
      </w:r>
    </w:p>
    <w:p w:rsidR="00DC4910" w:rsidRDefault="00DC4910" w:rsidP="00280AA7">
      <w:pPr>
        <w:pStyle w:val="Brdtext"/>
      </w:pPr>
      <w:r>
        <w:rPr>
          <w:b/>
        </w:rPr>
        <w:t>O1</w:t>
      </w:r>
      <w:r w:rsidR="00F824B8">
        <w:br/>
      </w:r>
      <w:r>
        <w:t>Här ingår ämnen eller blandningar med faroangivelse EUH14</w:t>
      </w:r>
      <w:r w:rsidR="00784A81">
        <w:t xml:space="preserve"> (Reagerar häftigt med vatten)</w:t>
      </w:r>
      <w:r>
        <w:t>.</w:t>
      </w:r>
      <w:r w:rsidR="00280AA7">
        <w:br/>
      </w:r>
      <w:bookmarkStart w:id="4" w:name="_GoBack"/>
      <w:bookmarkEnd w:id="4"/>
      <w:r>
        <w:t>Gränsmängderna är 100 ton för den lägre kravnivån och 500 för den högre.</w:t>
      </w:r>
      <w:r w:rsidR="00F824B8">
        <w:br/>
      </w:r>
    </w:p>
    <w:p w:rsidR="00DC4910" w:rsidRPr="00280AA7" w:rsidRDefault="00DC4910" w:rsidP="00DC4910">
      <w:pPr>
        <w:pStyle w:val="Brdtext"/>
        <w:rPr>
          <w:b/>
        </w:rPr>
      </w:pPr>
      <w:r>
        <w:rPr>
          <w:b/>
        </w:rPr>
        <w:t>O2</w:t>
      </w:r>
      <w:r w:rsidR="00F824B8">
        <w:rPr>
          <w:b/>
        </w:rPr>
        <w:br/>
      </w:r>
      <w:r>
        <w:t>Här ingår Ämnen och blandningar som vid kontakt med vatten utvecklar brandfarliga gaser i farokategori 1.</w:t>
      </w:r>
      <w:r w:rsidR="00280AA7">
        <w:rPr>
          <w:b/>
        </w:rPr>
        <w:br/>
      </w:r>
      <w:r w:rsidR="00B47D0D">
        <w:t>Gränsmängderna är 100 ton för den lägre kravnivån och 500 för den högre.</w:t>
      </w:r>
    </w:p>
    <w:p w:rsidR="00DC4910" w:rsidRDefault="00DC4910" w:rsidP="00DC4910">
      <w:pPr>
        <w:pStyle w:val="Brdtext"/>
      </w:pPr>
      <w:r>
        <w:rPr>
          <w:b/>
        </w:rPr>
        <w:t>O3</w:t>
      </w:r>
    </w:p>
    <w:p w:rsidR="00DC4910" w:rsidRDefault="00DC4910" w:rsidP="00DC4910">
      <w:r>
        <w:t>Här ingår ämnen eller blandningar med faroangivelse EUH029</w:t>
      </w:r>
      <w:r w:rsidR="000F33F9">
        <w:t xml:space="preserve"> (Utvecklar giftig gas i kontakt med vatten)</w:t>
      </w:r>
      <w:r>
        <w:t>.</w:t>
      </w:r>
    </w:p>
    <w:p w:rsidR="00B47D0D" w:rsidRPr="00DC4910" w:rsidRDefault="00B47D0D" w:rsidP="00DC4910">
      <w:r>
        <w:t>Gränsmängderna är 50 ton för den lägre kravnivån och 200 för den högre.</w:t>
      </w:r>
    </w:p>
    <w:p w:rsidR="001F1C5D" w:rsidRDefault="001F1C5D" w:rsidP="00B00826">
      <w:r>
        <w:br w:type="page"/>
      </w:r>
    </w:p>
    <w:p w:rsidR="009B17D8" w:rsidRDefault="00154E20" w:rsidP="006F47CB">
      <w:pPr>
        <w:pStyle w:val="Rubrik3"/>
      </w:pPr>
      <w:r>
        <w:lastRenderedPageBreak/>
        <w:t>Namngivna ämnen</w:t>
      </w:r>
    </w:p>
    <w:p w:rsidR="00C97A4E" w:rsidRDefault="00154E20" w:rsidP="00154E20">
      <w:r>
        <w:t>De namngivna ämnena i del 2 till bilaga 1 till Sevesoförordningen är ämnen</w:t>
      </w:r>
      <w:r w:rsidR="00EF0B0F">
        <w:t xml:space="preserve"> som tilldelats gränsmängder som</w:t>
      </w:r>
      <w:r>
        <w:t xml:space="preserve"> skiljer sig från gränsmängderna för de </w:t>
      </w:r>
      <w:r w:rsidR="005E08D7" w:rsidRPr="0043044C">
        <w:t>poster/</w:t>
      </w:r>
      <w:r w:rsidR="00E67D10" w:rsidRPr="0043044C">
        <w:t>punkter</w:t>
      </w:r>
      <w:r w:rsidRPr="0043044C">
        <w:t xml:space="preserve"> de tillhör. </w:t>
      </w:r>
      <w:r>
        <w:t xml:space="preserve">Gränsmängderna kan vara såväl högre som lägre än de för motsvarande </w:t>
      </w:r>
      <w:r w:rsidR="00E67D10" w:rsidRPr="0043044C">
        <w:t>p</w:t>
      </w:r>
      <w:r w:rsidR="005E08D7" w:rsidRPr="0043044C">
        <w:t>ost</w:t>
      </w:r>
      <w:r>
        <w:t xml:space="preserve">. </w:t>
      </w:r>
      <w:r w:rsidR="001F1C5D">
        <w:t>Ett antal nya namngivna ämnen har tillkommit vid införandet av Seveso III-direktivet.</w:t>
      </w:r>
      <w:r w:rsidR="000729F7">
        <w:t xml:space="preserve"> E</w:t>
      </w:r>
      <w:r w:rsidR="007B41B4">
        <w:t>xempelvis har ammoniak blivit namngivet</w:t>
      </w:r>
      <w:r w:rsidR="000729F7">
        <w:t xml:space="preserve"> för att ämnet ska behålla de gränsvärden som gällde under Seveso II-direktivet. O</w:t>
      </w:r>
      <w:r w:rsidR="007B41B4">
        <w:t>m ammoniak inte hade namngivits hade följden av att införa CLP blivit att</w:t>
      </w:r>
      <w:r w:rsidR="000729F7">
        <w:t xml:space="preserve"> </w:t>
      </w:r>
      <w:r w:rsidR="007B41B4">
        <w:t>lägre tröskelvärden gällt under Seveso III.</w:t>
      </w:r>
      <w:r w:rsidR="001F1C5D">
        <w:t xml:space="preserve"> </w:t>
      </w:r>
      <w:r>
        <w:t>Utöver de enskilda namngivna ämnena finns det några grupper av ämnen i del 2, nämligen</w:t>
      </w:r>
      <w:r w:rsidR="00C97A4E">
        <w:t>:</w:t>
      </w:r>
    </w:p>
    <w:p w:rsidR="00C97A4E" w:rsidRPr="00F824B8" w:rsidRDefault="00AE4182" w:rsidP="00F824B8">
      <w:pPr>
        <w:pStyle w:val="Brdtext"/>
        <w:numPr>
          <w:ilvl w:val="0"/>
          <w:numId w:val="18"/>
        </w:numPr>
      </w:pPr>
      <w:r w:rsidRPr="00F824B8">
        <w:t>K</w:t>
      </w:r>
      <w:r w:rsidR="00154E20" w:rsidRPr="00F824B8">
        <w:t xml:space="preserve">ondenserade </w:t>
      </w:r>
      <w:r w:rsidRPr="00F824B8">
        <w:t xml:space="preserve">brandfarliga </w:t>
      </w:r>
      <w:r w:rsidR="00154E20" w:rsidRPr="00F824B8">
        <w:t xml:space="preserve">gaser kategori 1 eller </w:t>
      </w:r>
      <w:r w:rsidR="00C97A4E" w:rsidRPr="00F824B8">
        <w:t>2 (inklusive LPG</w:t>
      </w:r>
      <w:r w:rsidR="009D60D5" w:rsidRPr="00F824B8">
        <w:rPr>
          <w:rStyle w:val="Fotnotsreferens"/>
          <w:vertAlign w:val="baseline"/>
        </w:rPr>
        <w:footnoteReference w:id="4"/>
      </w:r>
      <w:r w:rsidR="00C97A4E" w:rsidRPr="00F824B8">
        <w:t>) och naturgas</w:t>
      </w:r>
    </w:p>
    <w:p w:rsidR="00C97A4E" w:rsidRPr="00F824B8" w:rsidRDefault="00AE4182" w:rsidP="00F824B8">
      <w:pPr>
        <w:pStyle w:val="Brdtext"/>
        <w:numPr>
          <w:ilvl w:val="0"/>
          <w:numId w:val="18"/>
        </w:numPr>
      </w:pPr>
      <w:r w:rsidRPr="00F824B8">
        <w:t>P</w:t>
      </w:r>
      <w:r w:rsidR="00154E20" w:rsidRPr="00F824B8">
        <w:t>etroleumprodukter och alt</w:t>
      </w:r>
      <w:r w:rsidR="00C97A4E" w:rsidRPr="00F824B8">
        <w:t>ernativa bränslen</w:t>
      </w:r>
    </w:p>
    <w:p w:rsidR="008C4D97" w:rsidRDefault="00AE4182" w:rsidP="00154E20">
      <w:pPr>
        <w:pStyle w:val="Brdtext"/>
        <w:numPr>
          <w:ilvl w:val="0"/>
          <w:numId w:val="18"/>
        </w:numPr>
      </w:pPr>
      <w:proofErr w:type="spellStart"/>
      <w:r w:rsidRPr="00F824B8">
        <w:t>P</w:t>
      </w:r>
      <w:r w:rsidR="00F12763" w:rsidRPr="00F824B8">
        <w:t>olyklor</w:t>
      </w:r>
      <w:r w:rsidR="00154E20" w:rsidRPr="00F824B8">
        <w:t>dibensofuraner</w:t>
      </w:r>
      <w:proofErr w:type="spellEnd"/>
      <w:r w:rsidR="00154E20" w:rsidRPr="00F824B8">
        <w:t xml:space="preserve"> och </w:t>
      </w:r>
      <w:proofErr w:type="spellStart"/>
      <w:r w:rsidR="00154E20" w:rsidRPr="00F824B8">
        <w:t>polyklordibensodioxiner</w:t>
      </w:r>
      <w:proofErr w:type="spellEnd"/>
      <w:r w:rsidR="00154E20" w:rsidRPr="00F824B8">
        <w:t>.</w:t>
      </w:r>
    </w:p>
    <w:p w:rsidR="004F5C97" w:rsidRPr="006F47CB" w:rsidRDefault="004F5C97" w:rsidP="004F5C97">
      <w:pPr>
        <w:rPr>
          <w:b/>
        </w:rPr>
      </w:pPr>
      <w:r w:rsidRPr="006F47CB">
        <w:rPr>
          <w:b/>
        </w:rPr>
        <w:t>Kondenserade brandfarliga gaser kategori 1 eller 2 (inklusive LPG</w:t>
      </w:r>
      <w:r w:rsidR="00E90A3A">
        <w:rPr>
          <w:vertAlign w:val="superscript"/>
        </w:rPr>
        <w:t>4</w:t>
      </w:r>
      <w:r w:rsidRPr="006F47CB">
        <w:rPr>
          <w:b/>
        </w:rPr>
        <w:t>) och naturgas</w:t>
      </w:r>
    </w:p>
    <w:p w:rsidR="00EE3023" w:rsidRDefault="004F5C97" w:rsidP="004F5C97">
      <w:pPr>
        <w:pStyle w:val="Brdtext"/>
      </w:pPr>
      <w:r>
        <w:t>Notera följande anmärkning: Här får även uppgraderad biogas klassificeras om den har bearbetats i enlighet med gällande normer för renad och uppgraderad biogas som garanterar en kvalitet som är likvärdig med kvaliteten på naturgas, inklusive vad metaninnehållet beträffar och där</w:t>
      </w:r>
      <w:r w:rsidR="00F824B8">
        <w:t xml:space="preserve"> syrehalten uppgår till högst 1 </w:t>
      </w:r>
      <w:r w:rsidR="00EE3023">
        <w:t>%.</w:t>
      </w:r>
    </w:p>
    <w:p w:rsidR="00BE09FB" w:rsidRPr="006F47CB" w:rsidRDefault="00BE09FB" w:rsidP="006F47CB">
      <w:pPr>
        <w:rPr>
          <w:b/>
        </w:rPr>
      </w:pPr>
      <w:r w:rsidRPr="006F47CB">
        <w:rPr>
          <w:b/>
        </w:rPr>
        <w:t>Petroleumprodukter och alternativa bränslen</w:t>
      </w:r>
    </w:p>
    <w:p w:rsidR="00BE09FB" w:rsidRDefault="00BE09FB" w:rsidP="00BE09FB">
      <w:r>
        <w:t>I gruppen ingår bensin, nafta, fotogen (inklusive flygbränslen), gasoljor (inklusive dieselbränslen, lätta eldningsoljor och blandkomponenter för gasoljor), tunga eldningsoljor samt alternativa bränslen med samma användningsändamål och liknande egenskaper ifråga om brand- och miljöfarlighet som uppräknade petroleumprodukter. De alternativa bränslena lades till i denna grupp i samband med Seveso III-direktivets införande</w:t>
      </w:r>
      <w:r w:rsidR="00120B06">
        <w:t xml:space="preserve"> eftersom de annars skulle ha fått lägre gränsvärden än petroleumprodukter</w:t>
      </w:r>
      <w:r>
        <w:t xml:space="preserve">. </w:t>
      </w:r>
    </w:p>
    <w:p w:rsidR="008C4D97" w:rsidRDefault="008C4D97" w:rsidP="00BE09FB"/>
    <w:p w:rsidR="00AE104C" w:rsidRPr="006F47CB" w:rsidRDefault="00F12763" w:rsidP="006F47CB">
      <w:pPr>
        <w:rPr>
          <w:b/>
        </w:rPr>
      </w:pPr>
      <w:proofErr w:type="spellStart"/>
      <w:r w:rsidRPr="006F47CB">
        <w:rPr>
          <w:b/>
        </w:rPr>
        <w:t>Polyklordibensofuraner</w:t>
      </w:r>
      <w:proofErr w:type="spellEnd"/>
      <w:r w:rsidRPr="006F47CB">
        <w:rPr>
          <w:b/>
        </w:rPr>
        <w:t xml:space="preserve"> och </w:t>
      </w:r>
      <w:proofErr w:type="spellStart"/>
      <w:r w:rsidRPr="006F47CB">
        <w:rPr>
          <w:b/>
        </w:rPr>
        <w:t>polyklordibensodioxiner</w:t>
      </w:r>
      <w:proofErr w:type="spellEnd"/>
    </w:p>
    <w:p w:rsidR="00F12763" w:rsidRDefault="00F12763" w:rsidP="00F12763">
      <w:r>
        <w:t xml:space="preserve">Ämnena i gruppen ska räknas om till </w:t>
      </w:r>
      <w:proofErr w:type="spellStart"/>
      <w:r>
        <w:t>Tetraklordibensodioxin</w:t>
      </w:r>
      <w:proofErr w:type="spellEnd"/>
      <w:r>
        <w:t xml:space="preserve"> (TCDD)- ekvivalenter med hjälp av viktningsfaktorer. Grä</w:t>
      </w:r>
      <w:r w:rsidR="00CE67B1">
        <w:t>nsvärdet (endast värde för högre kravnivå finns) räknat i TCDD-ekvivalenter är 1 kg. Dessa ämnen finns vanligen inte vid en verksamhet under normala omständigheter. Däremot är de exempel på ämnen som ibland kan bildas under okontrollerade kemiska processer.</w:t>
      </w:r>
    </w:p>
    <w:p w:rsidR="00DB3D9C" w:rsidRPr="00DB3D9C" w:rsidRDefault="00DB3D9C" w:rsidP="00F12763">
      <w:r>
        <w:rPr>
          <w:b/>
        </w:rPr>
        <w:t>Exempel:</w:t>
      </w:r>
      <w:r>
        <w:t xml:space="preserve"> TCDD har faktor 1, d v s 1 kg TCDD omfattas av Sevesoreglerna. 1,2,3,4,7,8 </w:t>
      </w:r>
      <w:proofErr w:type="spellStart"/>
      <w:r>
        <w:t>HxCDD</w:t>
      </w:r>
      <w:proofErr w:type="spellEnd"/>
      <w:r>
        <w:t xml:space="preserve"> har faktor 0,1. Detta betyder att 10 kg 1,2,3,4,7,8 </w:t>
      </w:r>
      <w:proofErr w:type="spellStart"/>
      <w:r>
        <w:t>HxCDD</w:t>
      </w:r>
      <w:proofErr w:type="spellEnd"/>
      <w:r>
        <w:t xml:space="preserve"> motsvarar 1 kg TCDD och är vad som krävs för att</w:t>
      </w:r>
      <w:r w:rsidR="004F5C97">
        <w:t xml:space="preserve"> ämnet ska omfattas av reglerna.</w:t>
      </w:r>
    </w:p>
    <w:sectPr w:rsidR="00DB3D9C" w:rsidRPr="00DB3D9C" w:rsidSect="00327CB0">
      <w:footerReference w:type="default" r:id="rId16"/>
      <w:type w:val="continuous"/>
      <w:pgSz w:w="11906" w:h="16838" w:code="9"/>
      <w:pgMar w:top="2155" w:right="2268" w:bottom="1134" w:left="2268" w:header="567" w:footer="567"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EE0" w:rsidRDefault="00B94EE0">
      <w:r>
        <w:separator/>
      </w:r>
    </w:p>
  </w:endnote>
  <w:endnote w:type="continuationSeparator" w:id="0">
    <w:p w:rsidR="00B94EE0" w:rsidRDefault="00B9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E0" w:rsidRPr="005953B1" w:rsidRDefault="00B94EE0" w:rsidP="005953B1">
    <w:pPr>
      <w:pStyle w:val="Sidfot"/>
    </w:pPr>
    <w:r>
      <w:rPr>
        <w:noProof/>
      </w:rPr>
      <mc:AlternateContent>
        <mc:Choice Requires="wps">
          <w:drawing>
            <wp:anchor distT="0" distB="0" distL="114300" distR="114300" simplePos="0" relativeHeight="251657728" behindDoc="0" locked="1" layoutInCell="0" allowOverlap="1" wp14:anchorId="00DA112F" wp14:editId="48D1D991">
              <wp:simplePos x="0" y="0"/>
              <wp:positionH relativeFrom="column">
                <wp:posOffset>-1045845</wp:posOffset>
              </wp:positionH>
              <wp:positionV relativeFrom="page">
                <wp:posOffset>9312910</wp:posOffset>
              </wp:positionV>
              <wp:extent cx="114935" cy="79946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EE0" w:rsidRPr="00734771" w:rsidRDefault="00F00BED" w:rsidP="005953B1">
                          <w:pPr>
                            <w:pStyle w:val="Mallnummer"/>
                          </w:pPr>
                          <w:fldSimple w:instr=" DOCPROPERTY &quot;Mallnr&quot;  \* MERGEFORMAT ">
                            <w:r>
                              <w:t>MSB-51.1</w:t>
                            </w:r>
                          </w:fldSimple>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82.35pt;margin-top:733.3pt;width:9.05pt;height:6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KVfAIAAAIFAAAOAAAAZHJzL2Uyb0RvYy54bWysVNuO2yAQfa/Uf0C8Z22nzsVWnNVmt6kq&#10;bS/Sbj+AAI5RMVAgsVfV/nsHHGfTy0NV1Q94gOFwZuYMq+u+lejIrRNaVTi7SjHiimom1L7CXx63&#10;kyVGzhPFiNSKV/iJO3y9fv1q1ZmST3WjJeMWAYhyZWcq3HhvyiRxtOEtcVfacAWbtbYt8TC1+4RZ&#10;0gF6K5Npms6TTltmrKbcOVi9GzbxOuLXNaf+U1077pGsMHDzcbRx3IUxWa9IubfENIKeaJB/YNES&#10;oeDSM9Qd8QQdrPgNqhXUaqdrf0V1m+i6FpTHGCCaLP0lmoeGGB5jgeQ4c06T+3+w9OPxs0WCQe0w&#10;UqSFEj3y3qON7lE2C+npjCvB68GAn+9hPbiGUJ251/SrQ0rfNkTt+Y21ums4YUAvCyeTi6MDjgsg&#10;u+6DZnAPOXgdgfratgEQsoEAHcr0dC5N4ELDlVlevJlhRGFrURT5PHJLSDkeNtb5d1y3KBgVtlD5&#10;CE6O984HMqQcXSJ5LQXbCinjxO53t9KiIwGVbOMX+UOMl25SBWelw7EBcVgBjnBH2AtsY9W/F9k0&#10;TzfTYrKdLxeTfJvPJsUiXU7SrNgU8zQv8rvtcyCY5WUjGOPqXig+KjDL/67Cp14YtBM1iLoKF7Pp&#10;bKjQJXt3GWQavz8F2QoPDSlFW+Hl2YmUoa5vFYOwSemJkIOd/Ew/ZhlyMP5jVqIKQuEHCfh+1wNK&#10;kMZOsyfQg9VQLyg6vCJghHG6gGkHTVlh9+1ALMdIvlcgq9DBo2FHYzcaRNFGQ297jAbz1g+dfjBW&#10;7BsAH4Sr9A1IrxZRFi9EToKFRov8T49C6OTLefR6ebrWPwAAAP//AwBQSwMEFAAGAAgAAAAhAGtK&#10;MCrhAAAADwEAAA8AAABkcnMvZG93bnJldi54bWxMj8FugzAQRO+V+g/WVuqlIoYI3JZgIlSpVa+F&#10;HHp08AZQsI2wQ+jfd3Nqb7s7o9k3xX41I1tw9oOzEpJNDAxt6/RgOwmH5j16AeaDslqNzqKEH/Sw&#10;L+/vCpVrd7VfuNShYxRifa4k9CFMOee+7dEov3ETWtJObjYq0Dp3XM/qSuFm5Ns4FtyowdKHXk34&#10;1mN7ri9Gwpq5+nPyTSVUcqqflvD9UTWplI8Pa7UDFnANf2a44RM6lMR0dBerPRslRIlIn8lLSiqE&#10;AEae6DYCO9Ite91mwMuC/+9R/gIAAP//AwBQSwECLQAUAAYACAAAACEAtoM4kv4AAADhAQAAEwAA&#10;AAAAAAAAAAAAAAAAAAAAW0NvbnRlbnRfVHlwZXNdLnhtbFBLAQItABQABgAIAAAAIQA4/SH/1gAA&#10;AJQBAAALAAAAAAAAAAAAAAAAAC8BAABfcmVscy8ucmVsc1BLAQItABQABgAIAAAAIQCbrHKVfAIA&#10;AAIFAAAOAAAAAAAAAAAAAAAAAC4CAABkcnMvZTJvRG9jLnhtbFBLAQItABQABgAIAAAAIQBrSjAq&#10;4QAAAA8BAAAPAAAAAAAAAAAAAAAAANYEAABkcnMvZG93bnJldi54bWxQSwUGAAAAAAQABADzAAAA&#10;5AUAAAAA&#10;" o:allowincell="f" stroked="f">
              <v:textbox style="layout-flow:vertical;mso-layout-flow-alt:bottom-to-top" inset="0,0,0,0">
                <w:txbxContent>
                  <w:p w:rsidR="00B94EE0" w:rsidRPr="00734771" w:rsidRDefault="00F00BED" w:rsidP="005953B1">
                    <w:pPr>
                      <w:pStyle w:val="Mallnummer"/>
                    </w:pPr>
                    <w:r>
                      <w:fldChar w:fldCharType="begin"/>
                    </w:r>
                    <w:r>
                      <w:instrText xml:space="preserve"> DOCPROPERTY "Mallnr"  \* MERGEFORMAT </w:instrText>
                    </w:r>
                    <w:r>
                      <w:fldChar w:fldCharType="separate"/>
                    </w:r>
                    <w:r>
                      <w:t>MSB-51.1</w:t>
                    </w:r>
                    <w:r>
                      <w:fldChar w:fldCharType="end"/>
                    </w:r>
                  </w:p>
                </w:txbxContent>
              </v:textbox>
              <w10:wrap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E0" w:rsidRPr="00F9748E" w:rsidRDefault="00B94EE0" w:rsidP="00F9748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EE0" w:rsidRDefault="00B94EE0">
      <w:r>
        <w:separator/>
      </w:r>
    </w:p>
  </w:footnote>
  <w:footnote w:type="continuationSeparator" w:id="0">
    <w:p w:rsidR="00B94EE0" w:rsidRDefault="00B94EE0">
      <w:r>
        <w:continuationSeparator/>
      </w:r>
    </w:p>
  </w:footnote>
  <w:footnote w:id="1">
    <w:p w:rsidR="00B94EE0" w:rsidRDefault="00B94EE0">
      <w:pPr>
        <w:pStyle w:val="Fotnotstext"/>
      </w:pPr>
      <w:r>
        <w:rPr>
          <w:rStyle w:val="Fotnotsreferens"/>
        </w:rPr>
        <w:footnoteRef/>
      </w:r>
      <w:r>
        <w:t xml:space="preserve"> </w:t>
      </w:r>
      <w:r w:rsidRPr="00462535">
        <w:t>Poster betecknas med bokstav och siffra, t ex H1. Punkter betecknas med bokstav, siffra, bokstav, t ex P1a.</w:t>
      </w:r>
    </w:p>
  </w:footnote>
  <w:footnote w:id="2">
    <w:p w:rsidR="00B94EE0" w:rsidRDefault="00B94EE0">
      <w:pPr>
        <w:pStyle w:val="Fotnotstext"/>
      </w:pPr>
      <w:r>
        <w:rPr>
          <w:rStyle w:val="Fotnotsreferens"/>
        </w:rPr>
        <w:footnoteRef/>
      </w:r>
      <w:r>
        <w:t xml:space="preserve"> Europarådets och parlamentets förordning (EG) nr 1272/2008 om klassificering</w:t>
      </w:r>
      <w:proofErr w:type="gramStart"/>
      <w:r>
        <w:t>,,</w:t>
      </w:r>
      <w:proofErr w:type="gramEnd"/>
      <w:r>
        <w:t xml:space="preserve"> märkning och förpackning av ämnen och blandningar.</w:t>
      </w:r>
    </w:p>
  </w:footnote>
  <w:footnote w:id="3">
    <w:p w:rsidR="00B94EE0" w:rsidRDefault="00B94EE0">
      <w:pPr>
        <w:pStyle w:val="Fotnotstext"/>
      </w:pPr>
      <w:r>
        <w:rPr>
          <w:rStyle w:val="Fotnotsreferens"/>
        </w:rPr>
        <w:footnoteRef/>
      </w:r>
      <w:r>
        <w:t xml:space="preserve"> Innehållet utan emballage</w:t>
      </w:r>
    </w:p>
  </w:footnote>
  <w:footnote w:id="4">
    <w:p w:rsidR="00B94EE0" w:rsidRDefault="00B94EE0">
      <w:pPr>
        <w:pStyle w:val="Fotnotstext"/>
      </w:pPr>
      <w:r>
        <w:rPr>
          <w:rStyle w:val="Fotnotsreferens"/>
        </w:rPr>
        <w:footnoteRef/>
      </w:r>
      <w:r>
        <w:t xml:space="preserve"> </w:t>
      </w:r>
      <w:r w:rsidRPr="00AB6973">
        <w:t>LPG (</w:t>
      </w:r>
      <w:proofErr w:type="spellStart"/>
      <w:r w:rsidRPr="00AB6973">
        <w:t>liquefied</w:t>
      </w:r>
      <w:proofErr w:type="spellEnd"/>
      <w:r w:rsidRPr="00AB6973">
        <w:t xml:space="preserve"> petroleum gas) är ett annat namn för den gasblandning som i Sverige brukar kallas Gasol</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03" w:type="dxa"/>
      <w:tblInd w:w="-1064" w:type="dxa"/>
      <w:tblLayout w:type="fixed"/>
      <w:tblCellMar>
        <w:left w:w="70" w:type="dxa"/>
        <w:right w:w="70" w:type="dxa"/>
      </w:tblCellMar>
      <w:tblLook w:val="0000" w:firstRow="0" w:lastRow="0" w:firstColumn="0" w:lastColumn="0" w:noHBand="0" w:noVBand="0"/>
    </w:tblPr>
    <w:tblGrid>
      <w:gridCol w:w="5320"/>
      <w:gridCol w:w="2193"/>
      <w:gridCol w:w="1698"/>
      <w:gridCol w:w="1092"/>
    </w:tblGrid>
    <w:tr w:rsidR="00B94EE0">
      <w:trPr>
        <w:cantSplit/>
        <w:trHeight w:hRule="exact" w:val="567"/>
      </w:trPr>
      <w:tc>
        <w:tcPr>
          <w:tcW w:w="5320" w:type="dxa"/>
          <w:vAlign w:val="bottom"/>
        </w:tcPr>
        <w:p w:rsidR="00B94EE0" w:rsidRPr="0044494E" w:rsidRDefault="00B94EE0">
          <w:pPr>
            <w:rPr>
              <w:b/>
              <w:bCs/>
              <w:snapToGrid w:val="0"/>
            </w:rPr>
          </w:pPr>
        </w:p>
      </w:tc>
      <w:tc>
        <w:tcPr>
          <w:tcW w:w="3891" w:type="dxa"/>
          <w:gridSpan w:val="2"/>
          <w:vAlign w:val="bottom"/>
        </w:tcPr>
        <w:p w:rsidR="00B94EE0" w:rsidRDefault="00B94EE0" w:rsidP="00A52811">
          <w:pPr>
            <w:pStyle w:val="Dokumentrubrik"/>
            <w:rPr>
              <w:snapToGrid w:val="0"/>
            </w:rPr>
          </w:pPr>
          <w:bookmarkStart w:id="0" w:name="Doktyp"/>
          <w:bookmarkEnd w:id="0"/>
        </w:p>
      </w:tc>
      <w:tc>
        <w:tcPr>
          <w:tcW w:w="1092" w:type="dxa"/>
          <w:vAlign w:val="bottom"/>
        </w:tcPr>
        <w:p w:rsidR="00B94EE0" w:rsidRPr="00931EAB" w:rsidRDefault="00B94EE0" w:rsidP="00931EAB">
          <w:pPr>
            <w:pStyle w:val="Sidnumrering"/>
          </w:pPr>
          <w:r w:rsidRPr="00931EAB">
            <w:fldChar w:fldCharType="begin"/>
          </w:r>
          <w:r w:rsidRPr="00931EAB">
            <w:instrText xml:space="preserve"> PAGE </w:instrText>
          </w:r>
          <w:r w:rsidRPr="00931EAB">
            <w:fldChar w:fldCharType="separate"/>
          </w:r>
          <w:r w:rsidR="00280AA7">
            <w:rPr>
              <w:noProof/>
            </w:rPr>
            <w:t>1</w:t>
          </w:r>
          <w:r w:rsidRPr="00931EAB">
            <w:fldChar w:fldCharType="end"/>
          </w:r>
          <w:r w:rsidRPr="00931EAB">
            <w:t xml:space="preserve"> (</w:t>
          </w:r>
          <w:fldSimple w:instr=" NUMPAGES ">
            <w:r w:rsidR="00280AA7">
              <w:rPr>
                <w:noProof/>
              </w:rPr>
              <w:t>9</w:t>
            </w:r>
          </w:fldSimple>
          <w:r w:rsidRPr="00931EAB">
            <w:t>)</w:t>
          </w:r>
        </w:p>
      </w:tc>
    </w:tr>
    <w:tr w:rsidR="00B94EE0">
      <w:trPr>
        <w:cantSplit/>
        <w:trHeight w:hRule="exact" w:val="482"/>
      </w:trPr>
      <w:tc>
        <w:tcPr>
          <w:tcW w:w="5320" w:type="dxa"/>
        </w:tcPr>
        <w:p w:rsidR="00B94EE0" w:rsidRDefault="00B94EE0" w:rsidP="00527506">
          <w:pPr>
            <w:rPr>
              <w:rFonts w:ascii="Arial" w:hAnsi="Arial"/>
              <w:snapToGrid w:val="0"/>
            </w:rPr>
          </w:pPr>
        </w:p>
      </w:tc>
      <w:tc>
        <w:tcPr>
          <w:tcW w:w="2193" w:type="dxa"/>
        </w:tcPr>
        <w:p w:rsidR="00B94EE0" w:rsidRDefault="00B94EE0" w:rsidP="00527506">
          <w:pPr>
            <w:pStyle w:val="Ledtext"/>
          </w:pPr>
          <w:r>
            <w:t>Datum</w:t>
          </w:r>
        </w:p>
        <w:p w:rsidR="00B94EE0" w:rsidRDefault="00B94EE0" w:rsidP="00527506">
          <w:pPr>
            <w:pStyle w:val="Flttext"/>
          </w:pPr>
          <w:bookmarkStart w:id="1" w:name="Datum"/>
          <w:bookmarkEnd w:id="1"/>
          <w:r>
            <w:t>2015-12-14</w:t>
          </w:r>
        </w:p>
      </w:tc>
      <w:tc>
        <w:tcPr>
          <w:tcW w:w="2790" w:type="dxa"/>
          <w:gridSpan w:val="2"/>
        </w:tcPr>
        <w:p w:rsidR="00B94EE0" w:rsidRPr="00A52811" w:rsidRDefault="00B94EE0" w:rsidP="00C7064A">
          <w:pPr>
            <w:pStyle w:val="Ledtext"/>
          </w:pPr>
          <w:bookmarkStart w:id="2" w:name="Diarienr"/>
          <w:bookmarkEnd w:id="2"/>
        </w:p>
      </w:tc>
    </w:tr>
  </w:tbl>
  <w:p w:rsidR="00B94EE0" w:rsidRPr="003C3B86" w:rsidRDefault="00B94EE0" w:rsidP="00B0430B">
    <w:pPr>
      <w:pStyle w:val="Sma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D7CCD02"/>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EA8230D4"/>
    <w:lvl w:ilvl="0">
      <w:start w:val="1"/>
      <w:numFmt w:val="bullet"/>
      <w:lvlText w:val=""/>
      <w:lvlJc w:val="left"/>
      <w:pPr>
        <w:tabs>
          <w:tab w:val="num" w:pos="360"/>
        </w:tabs>
        <w:ind w:left="360" w:hanging="360"/>
      </w:pPr>
      <w:rPr>
        <w:rFonts w:ascii="Symbol" w:hAnsi="Symbol" w:hint="default"/>
      </w:rPr>
    </w:lvl>
  </w:abstractNum>
  <w:abstractNum w:abstractNumId="2">
    <w:nsid w:val="1FB4747E"/>
    <w:multiLevelType w:val="hybridMultilevel"/>
    <w:tmpl w:val="C58AEC94"/>
    <w:lvl w:ilvl="0" w:tplc="40266CA4">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9E560EF"/>
    <w:multiLevelType w:val="hybridMultilevel"/>
    <w:tmpl w:val="1726503C"/>
    <w:lvl w:ilvl="0" w:tplc="236C6850">
      <w:numFmt w:val="bullet"/>
      <w:lvlText w:val="-"/>
      <w:lvlJc w:val="left"/>
      <w:pPr>
        <w:ind w:left="360" w:hanging="360"/>
      </w:pPr>
      <w:rPr>
        <w:rFonts w:ascii="Georgia" w:eastAsia="Times New Roman" w:hAnsi="Georgia"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2BE23741"/>
    <w:multiLevelType w:val="hybridMultilevel"/>
    <w:tmpl w:val="813C6510"/>
    <w:lvl w:ilvl="0" w:tplc="95380CD4">
      <w:start w:val="1"/>
      <w:numFmt w:val="decimal"/>
      <w:lvlText w:val="%1."/>
      <w:lvlJc w:val="left"/>
      <w:pPr>
        <w:ind w:left="360" w:hanging="360"/>
      </w:pPr>
      <w:rPr>
        <w:rFonts w:hint="default"/>
        <w:b/>
      </w:rPr>
    </w:lvl>
    <w:lvl w:ilvl="1" w:tplc="041D0019" w:tentative="1">
      <w:start w:val="1"/>
      <w:numFmt w:val="lowerLetter"/>
      <w:lvlText w:val="%2."/>
      <w:lvlJc w:val="left"/>
      <w:pPr>
        <w:ind w:left="1014" w:hanging="360"/>
      </w:pPr>
    </w:lvl>
    <w:lvl w:ilvl="2" w:tplc="041D001B" w:tentative="1">
      <w:start w:val="1"/>
      <w:numFmt w:val="lowerRoman"/>
      <w:lvlText w:val="%3."/>
      <w:lvlJc w:val="right"/>
      <w:pPr>
        <w:ind w:left="1734" w:hanging="180"/>
      </w:pPr>
    </w:lvl>
    <w:lvl w:ilvl="3" w:tplc="041D000F" w:tentative="1">
      <w:start w:val="1"/>
      <w:numFmt w:val="decimal"/>
      <w:lvlText w:val="%4."/>
      <w:lvlJc w:val="left"/>
      <w:pPr>
        <w:ind w:left="2454" w:hanging="360"/>
      </w:pPr>
    </w:lvl>
    <w:lvl w:ilvl="4" w:tplc="041D0019" w:tentative="1">
      <w:start w:val="1"/>
      <w:numFmt w:val="lowerLetter"/>
      <w:lvlText w:val="%5."/>
      <w:lvlJc w:val="left"/>
      <w:pPr>
        <w:ind w:left="3174" w:hanging="360"/>
      </w:pPr>
    </w:lvl>
    <w:lvl w:ilvl="5" w:tplc="041D001B" w:tentative="1">
      <w:start w:val="1"/>
      <w:numFmt w:val="lowerRoman"/>
      <w:lvlText w:val="%6."/>
      <w:lvlJc w:val="right"/>
      <w:pPr>
        <w:ind w:left="3894" w:hanging="180"/>
      </w:pPr>
    </w:lvl>
    <w:lvl w:ilvl="6" w:tplc="041D000F" w:tentative="1">
      <w:start w:val="1"/>
      <w:numFmt w:val="decimal"/>
      <w:lvlText w:val="%7."/>
      <w:lvlJc w:val="left"/>
      <w:pPr>
        <w:ind w:left="4614" w:hanging="360"/>
      </w:pPr>
    </w:lvl>
    <w:lvl w:ilvl="7" w:tplc="041D0019" w:tentative="1">
      <w:start w:val="1"/>
      <w:numFmt w:val="lowerLetter"/>
      <w:lvlText w:val="%8."/>
      <w:lvlJc w:val="left"/>
      <w:pPr>
        <w:ind w:left="5334" w:hanging="360"/>
      </w:pPr>
    </w:lvl>
    <w:lvl w:ilvl="8" w:tplc="041D001B" w:tentative="1">
      <w:start w:val="1"/>
      <w:numFmt w:val="lowerRoman"/>
      <w:lvlText w:val="%9."/>
      <w:lvlJc w:val="right"/>
      <w:pPr>
        <w:ind w:left="6054" w:hanging="180"/>
      </w:pPr>
    </w:lvl>
  </w:abstractNum>
  <w:abstractNum w:abstractNumId="5">
    <w:nsid w:val="2E650EAD"/>
    <w:multiLevelType w:val="multilevel"/>
    <w:tmpl w:val="A322CC6C"/>
    <w:lvl w:ilvl="0">
      <w:start w:val="1"/>
      <w:numFmt w:val="decimal"/>
      <w:pStyle w:val="Numrrubrik1"/>
      <w:lvlText w:val="%1"/>
      <w:lvlJc w:val="left"/>
      <w:pPr>
        <w:tabs>
          <w:tab w:val="num" w:pos="851"/>
        </w:tabs>
        <w:ind w:left="851" w:hanging="851"/>
      </w:pPr>
      <w:rPr>
        <w:rFonts w:ascii="Verdana" w:hAnsi="Verdana" w:hint="default"/>
        <w:b/>
        <w:i w:val="0"/>
        <w:sz w:val="28"/>
        <w:szCs w:val="36"/>
      </w:rPr>
    </w:lvl>
    <w:lvl w:ilvl="1">
      <w:start w:val="1"/>
      <w:numFmt w:val="decimal"/>
      <w:pStyle w:val="Numrrubrik2"/>
      <w:isLgl/>
      <w:lvlText w:val="%1.%2"/>
      <w:lvlJc w:val="left"/>
      <w:pPr>
        <w:tabs>
          <w:tab w:val="num" w:pos="851"/>
        </w:tabs>
        <w:ind w:left="851" w:hanging="851"/>
      </w:pPr>
      <w:rPr>
        <w:rFonts w:ascii="Verdana" w:hAnsi="Verdana" w:hint="default"/>
        <w:b/>
        <w:i w:val="0"/>
        <w:sz w:val="24"/>
      </w:rPr>
    </w:lvl>
    <w:lvl w:ilvl="2">
      <w:start w:val="1"/>
      <w:numFmt w:val="decimal"/>
      <w:pStyle w:val="Numrrubrik3"/>
      <w:isLgl/>
      <w:lvlText w:val="%1.%2.%3"/>
      <w:lvlJc w:val="left"/>
      <w:pPr>
        <w:tabs>
          <w:tab w:val="num" w:pos="851"/>
        </w:tabs>
        <w:ind w:left="851" w:hanging="851"/>
      </w:pPr>
      <w:rPr>
        <w:rFonts w:ascii="Georgia" w:hAnsi="Georgia" w:hint="default"/>
        <w:b/>
        <w:i w:val="0"/>
        <w:sz w:val="21"/>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nsid w:val="47B231BC"/>
    <w:multiLevelType w:val="hybridMultilevel"/>
    <w:tmpl w:val="91A86FDC"/>
    <w:lvl w:ilvl="0" w:tplc="BDCA6EFE">
      <w:start w:val="1"/>
      <w:numFmt w:val="bullet"/>
      <w:lvlText w:val=""/>
      <w:lvlJc w:val="left"/>
      <w:pPr>
        <w:tabs>
          <w:tab w:val="num" w:pos="360"/>
        </w:tabs>
        <w:ind w:left="360" w:hanging="360"/>
      </w:pPr>
      <w:rPr>
        <w:rFonts w:ascii="Symbol" w:hAnsi="Symbol" w:hint="default"/>
      </w:rPr>
    </w:lvl>
    <w:lvl w:ilvl="1" w:tplc="94840068">
      <w:start w:val="1"/>
      <w:numFmt w:val="bullet"/>
      <w:lvlText w:val=""/>
      <w:lvlJc w:val="left"/>
      <w:pPr>
        <w:tabs>
          <w:tab w:val="num" w:pos="1080"/>
        </w:tabs>
        <w:ind w:left="1080" w:hanging="360"/>
      </w:pPr>
      <w:rPr>
        <w:rFonts w:ascii="Symbol" w:hAnsi="Symbol" w:hint="default"/>
      </w:rPr>
    </w:lvl>
    <w:lvl w:ilvl="2" w:tplc="D7DA4340" w:tentative="1">
      <w:start w:val="1"/>
      <w:numFmt w:val="bullet"/>
      <w:lvlText w:val=""/>
      <w:lvlJc w:val="left"/>
      <w:pPr>
        <w:tabs>
          <w:tab w:val="num" w:pos="1800"/>
        </w:tabs>
        <w:ind w:left="1800" w:hanging="360"/>
      </w:pPr>
      <w:rPr>
        <w:rFonts w:ascii="Wingdings" w:hAnsi="Wingdings" w:hint="default"/>
      </w:rPr>
    </w:lvl>
    <w:lvl w:ilvl="3" w:tplc="7DDE16D0" w:tentative="1">
      <w:start w:val="1"/>
      <w:numFmt w:val="bullet"/>
      <w:lvlText w:val=""/>
      <w:lvlJc w:val="left"/>
      <w:pPr>
        <w:tabs>
          <w:tab w:val="num" w:pos="2520"/>
        </w:tabs>
        <w:ind w:left="2520" w:hanging="360"/>
      </w:pPr>
      <w:rPr>
        <w:rFonts w:ascii="Symbol" w:hAnsi="Symbol" w:hint="default"/>
      </w:rPr>
    </w:lvl>
    <w:lvl w:ilvl="4" w:tplc="73980BFA" w:tentative="1">
      <w:start w:val="1"/>
      <w:numFmt w:val="bullet"/>
      <w:lvlText w:val="o"/>
      <w:lvlJc w:val="left"/>
      <w:pPr>
        <w:tabs>
          <w:tab w:val="num" w:pos="3240"/>
        </w:tabs>
        <w:ind w:left="3240" w:hanging="360"/>
      </w:pPr>
      <w:rPr>
        <w:rFonts w:ascii="Courier New" w:hAnsi="Courier New" w:hint="default"/>
      </w:rPr>
    </w:lvl>
    <w:lvl w:ilvl="5" w:tplc="F79E2160" w:tentative="1">
      <w:start w:val="1"/>
      <w:numFmt w:val="bullet"/>
      <w:lvlText w:val=""/>
      <w:lvlJc w:val="left"/>
      <w:pPr>
        <w:tabs>
          <w:tab w:val="num" w:pos="3960"/>
        </w:tabs>
        <w:ind w:left="3960" w:hanging="360"/>
      </w:pPr>
      <w:rPr>
        <w:rFonts w:ascii="Wingdings" w:hAnsi="Wingdings" w:hint="default"/>
      </w:rPr>
    </w:lvl>
    <w:lvl w:ilvl="6" w:tplc="A92A1ABA" w:tentative="1">
      <w:start w:val="1"/>
      <w:numFmt w:val="bullet"/>
      <w:lvlText w:val=""/>
      <w:lvlJc w:val="left"/>
      <w:pPr>
        <w:tabs>
          <w:tab w:val="num" w:pos="4680"/>
        </w:tabs>
        <w:ind w:left="4680" w:hanging="360"/>
      </w:pPr>
      <w:rPr>
        <w:rFonts w:ascii="Symbol" w:hAnsi="Symbol" w:hint="default"/>
      </w:rPr>
    </w:lvl>
    <w:lvl w:ilvl="7" w:tplc="CBF860C6" w:tentative="1">
      <w:start w:val="1"/>
      <w:numFmt w:val="bullet"/>
      <w:lvlText w:val="o"/>
      <w:lvlJc w:val="left"/>
      <w:pPr>
        <w:tabs>
          <w:tab w:val="num" w:pos="5400"/>
        </w:tabs>
        <w:ind w:left="5400" w:hanging="360"/>
      </w:pPr>
      <w:rPr>
        <w:rFonts w:ascii="Courier New" w:hAnsi="Courier New" w:hint="default"/>
      </w:rPr>
    </w:lvl>
    <w:lvl w:ilvl="8" w:tplc="FA88C67E" w:tentative="1">
      <w:start w:val="1"/>
      <w:numFmt w:val="bullet"/>
      <w:lvlText w:val=""/>
      <w:lvlJc w:val="left"/>
      <w:pPr>
        <w:tabs>
          <w:tab w:val="num" w:pos="6120"/>
        </w:tabs>
        <w:ind w:left="6120" w:hanging="360"/>
      </w:pPr>
      <w:rPr>
        <w:rFonts w:ascii="Wingdings" w:hAnsi="Wingdings" w:hint="default"/>
      </w:rPr>
    </w:lvl>
  </w:abstractNum>
  <w:abstractNum w:abstractNumId="7">
    <w:nsid w:val="4D6F535E"/>
    <w:multiLevelType w:val="hybridMultilevel"/>
    <w:tmpl w:val="5798F3E2"/>
    <w:lvl w:ilvl="0" w:tplc="84C63EE8">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CC16736"/>
    <w:multiLevelType w:val="hybridMultilevel"/>
    <w:tmpl w:val="AEFC718E"/>
    <w:lvl w:ilvl="0" w:tplc="E72E7208">
      <w:start w:val="1"/>
      <w:numFmt w:val="decimal"/>
      <w:lvlText w:val="%1."/>
      <w:lvlJc w:val="left"/>
      <w:pPr>
        <w:ind w:left="786"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6CE3034B"/>
    <w:multiLevelType w:val="hybridMultilevel"/>
    <w:tmpl w:val="5CDA8F56"/>
    <w:lvl w:ilvl="0" w:tplc="236C685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13A0FE5"/>
    <w:multiLevelType w:val="hybridMultilevel"/>
    <w:tmpl w:val="0D8AE474"/>
    <w:lvl w:ilvl="0" w:tplc="40266CA4">
      <w:start w:val="1"/>
      <w:numFmt w:val="bullet"/>
      <w:pStyle w:val="Punktlista"/>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num w:numId="1">
    <w:abstractNumId w:val="11"/>
  </w:num>
  <w:num w:numId="2">
    <w:abstractNumId w:val="6"/>
  </w:num>
  <w:num w:numId="3">
    <w:abstractNumId w:val="0"/>
  </w:num>
  <w:num w:numId="4">
    <w:abstractNumId w:val="0"/>
  </w:num>
  <w:num w:numId="5">
    <w:abstractNumId w:val="1"/>
  </w:num>
  <w:num w:numId="6">
    <w:abstractNumId w:val="1"/>
  </w:num>
  <w:num w:numId="7">
    <w:abstractNumId w:val="0"/>
  </w:num>
  <w:num w:numId="8">
    <w:abstractNumId w:val="1"/>
  </w:num>
  <w:num w:numId="9">
    <w:abstractNumId w:val="5"/>
  </w:num>
  <w:num w:numId="10">
    <w:abstractNumId w:val="5"/>
  </w:num>
  <w:num w:numId="11">
    <w:abstractNumId w:val="5"/>
  </w:num>
  <w:num w:numId="12">
    <w:abstractNumId w:val="4"/>
  </w:num>
  <w:num w:numId="13">
    <w:abstractNumId w:val="8"/>
  </w:num>
  <w:num w:numId="14">
    <w:abstractNumId w:val="7"/>
  </w:num>
  <w:num w:numId="15">
    <w:abstractNumId w:val="2"/>
  </w:num>
  <w:num w:numId="16">
    <w:abstractNumId w:val="10"/>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activeWritingStyle w:appName="MSWord" w:lang="sv-SE" w:vendorID="0" w:dllVersion="512" w:checkStyle="1"/>
  <w:activeWritingStyle w:appName="MSWord" w:lang="de-DE" w:vendorID="9"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01" fill="f" fillcolor="white" stroke="f">
      <v:fill color="white" opacity=".5"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BE"/>
    <w:rsid w:val="00004B49"/>
    <w:rsid w:val="0001118D"/>
    <w:rsid w:val="000141B6"/>
    <w:rsid w:val="00026CBD"/>
    <w:rsid w:val="00031694"/>
    <w:rsid w:val="00031B14"/>
    <w:rsid w:val="000416DF"/>
    <w:rsid w:val="00064E6B"/>
    <w:rsid w:val="00071A61"/>
    <w:rsid w:val="000729F7"/>
    <w:rsid w:val="0007375E"/>
    <w:rsid w:val="00073D4A"/>
    <w:rsid w:val="000807B4"/>
    <w:rsid w:val="000820E0"/>
    <w:rsid w:val="000945E8"/>
    <w:rsid w:val="0009738F"/>
    <w:rsid w:val="000A1FE5"/>
    <w:rsid w:val="000C7E9F"/>
    <w:rsid w:val="000D4573"/>
    <w:rsid w:val="000D570F"/>
    <w:rsid w:val="000D722A"/>
    <w:rsid w:val="000E379D"/>
    <w:rsid w:val="000F33F9"/>
    <w:rsid w:val="000F4E09"/>
    <w:rsid w:val="000F56F4"/>
    <w:rsid w:val="00104E4F"/>
    <w:rsid w:val="00107758"/>
    <w:rsid w:val="00120B06"/>
    <w:rsid w:val="00132D2C"/>
    <w:rsid w:val="00154E20"/>
    <w:rsid w:val="00156258"/>
    <w:rsid w:val="00162DC3"/>
    <w:rsid w:val="001649D1"/>
    <w:rsid w:val="001812FC"/>
    <w:rsid w:val="00182658"/>
    <w:rsid w:val="00187767"/>
    <w:rsid w:val="001A5CF6"/>
    <w:rsid w:val="001B0C4C"/>
    <w:rsid w:val="001B0E84"/>
    <w:rsid w:val="001F1C5D"/>
    <w:rsid w:val="001F3644"/>
    <w:rsid w:val="002004BD"/>
    <w:rsid w:val="00205EF3"/>
    <w:rsid w:val="00207017"/>
    <w:rsid w:val="00214169"/>
    <w:rsid w:val="0023225F"/>
    <w:rsid w:val="00233888"/>
    <w:rsid w:val="002352E1"/>
    <w:rsid w:val="00244E9B"/>
    <w:rsid w:val="00244F79"/>
    <w:rsid w:val="00251D66"/>
    <w:rsid w:val="0025253E"/>
    <w:rsid w:val="00252AF1"/>
    <w:rsid w:val="00254009"/>
    <w:rsid w:val="00255CA4"/>
    <w:rsid w:val="00280AA7"/>
    <w:rsid w:val="00284574"/>
    <w:rsid w:val="00286C34"/>
    <w:rsid w:val="002A79EA"/>
    <w:rsid w:val="002B02A8"/>
    <w:rsid w:val="002B4747"/>
    <w:rsid w:val="00303FDE"/>
    <w:rsid w:val="003129F0"/>
    <w:rsid w:val="00315ED8"/>
    <w:rsid w:val="0032191D"/>
    <w:rsid w:val="003262FD"/>
    <w:rsid w:val="00327CB0"/>
    <w:rsid w:val="0035089A"/>
    <w:rsid w:val="00361668"/>
    <w:rsid w:val="00367E3A"/>
    <w:rsid w:val="0037119A"/>
    <w:rsid w:val="00376F15"/>
    <w:rsid w:val="003A04B2"/>
    <w:rsid w:val="003A6BE1"/>
    <w:rsid w:val="003B3907"/>
    <w:rsid w:val="003B79BD"/>
    <w:rsid w:val="003C324A"/>
    <w:rsid w:val="003C3B86"/>
    <w:rsid w:val="003E103B"/>
    <w:rsid w:val="003F1599"/>
    <w:rsid w:val="004043F5"/>
    <w:rsid w:val="00410D74"/>
    <w:rsid w:val="00413CEF"/>
    <w:rsid w:val="0042153A"/>
    <w:rsid w:val="004216FA"/>
    <w:rsid w:val="00422F61"/>
    <w:rsid w:val="0043044C"/>
    <w:rsid w:val="00431574"/>
    <w:rsid w:val="00432F7A"/>
    <w:rsid w:val="004401B5"/>
    <w:rsid w:val="0044487E"/>
    <w:rsid w:val="0044494E"/>
    <w:rsid w:val="00445636"/>
    <w:rsid w:val="00457DE6"/>
    <w:rsid w:val="004609CC"/>
    <w:rsid w:val="00462535"/>
    <w:rsid w:val="00462E2C"/>
    <w:rsid w:val="0047294C"/>
    <w:rsid w:val="004745A8"/>
    <w:rsid w:val="004749F8"/>
    <w:rsid w:val="004904B9"/>
    <w:rsid w:val="00495835"/>
    <w:rsid w:val="004A0B90"/>
    <w:rsid w:val="004A2197"/>
    <w:rsid w:val="004A4764"/>
    <w:rsid w:val="004A4DDA"/>
    <w:rsid w:val="004B0DD4"/>
    <w:rsid w:val="004C13DD"/>
    <w:rsid w:val="004D3DBF"/>
    <w:rsid w:val="004E334D"/>
    <w:rsid w:val="004F1A03"/>
    <w:rsid w:val="004F5C97"/>
    <w:rsid w:val="0050016A"/>
    <w:rsid w:val="00500652"/>
    <w:rsid w:val="00506146"/>
    <w:rsid w:val="00520CE3"/>
    <w:rsid w:val="0052297B"/>
    <w:rsid w:val="00527506"/>
    <w:rsid w:val="005275BC"/>
    <w:rsid w:val="00531845"/>
    <w:rsid w:val="00532536"/>
    <w:rsid w:val="0053364D"/>
    <w:rsid w:val="00537DD1"/>
    <w:rsid w:val="00542D36"/>
    <w:rsid w:val="00546598"/>
    <w:rsid w:val="00546B64"/>
    <w:rsid w:val="0054775B"/>
    <w:rsid w:val="00554B8B"/>
    <w:rsid w:val="00562A71"/>
    <w:rsid w:val="00563C01"/>
    <w:rsid w:val="0057129B"/>
    <w:rsid w:val="0057174B"/>
    <w:rsid w:val="00571C9F"/>
    <w:rsid w:val="00573E90"/>
    <w:rsid w:val="0057718D"/>
    <w:rsid w:val="005812D6"/>
    <w:rsid w:val="00592A46"/>
    <w:rsid w:val="005953B1"/>
    <w:rsid w:val="005B0193"/>
    <w:rsid w:val="005C501D"/>
    <w:rsid w:val="005C6602"/>
    <w:rsid w:val="005C6D72"/>
    <w:rsid w:val="005C7C16"/>
    <w:rsid w:val="005D0505"/>
    <w:rsid w:val="005D0D47"/>
    <w:rsid w:val="005D5C2D"/>
    <w:rsid w:val="005E08D7"/>
    <w:rsid w:val="005E51B8"/>
    <w:rsid w:val="005F6739"/>
    <w:rsid w:val="006023CB"/>
    <w:rsid w:val="00603D7B"/>
    <w:rsid w:val="00612C00"/>
    <w:rsid w:val="00612D20"/>
    <w:rsid w:val="00614F3C"/>
    <w:rsid w:val="006313A0"/>
    <w:rsid w:val="00635C4E"/>
    <w:rsid w:val="00643E7C"/>
    <w:rsid w:val="00646052"/>
    <w:rsid w:val="00650C4F"/>
    <w:rsid w:val="00666C17"/>
    <w:rsid w:val="00682C34"/>
    <w:rsid w:val="006A747E"/>
    <w:rsid w:val="006B4D50"/>
    <w:rsid w:val="006D01CF"/>
    <w:rsid w:val="006D50D0"/>
    <w:rsid w:val="006E71E5"/>
    <w:rsid w:val="006F2A1F"/>
    <w:rsid w:val="006F39AA"/>
    <w:rsid w:val="006F47CB"/>
    <w:rsid w:val="00701326"/>
    <w:rsid w:val="007065C9"/>
    <w:rsid w:val="0070711B"/>
    <w:rsid w:val="00707330"/>
    <w:rsid w:val="00707427"/>
    <w:rsid w:val="00717B73"/>
    <w:rsid w:val="007227C2"/>
    <w:rsid w:val="00727A72"/>
    <w:rsid w:val="00731DEA"/>
    <w:rsid w:val="00734771"/>
    <w:rsid w:val="007357DA"/>
    <w:rsid w:val="0074020D"/>
    <w:rsid w:val="007428E8"/>
    <w:rsid w:val="00744201"/>
    <w:rsid w:val="007466C6"/>
    <w:rsid w:val="007512CE"/>
    <w:rsid w:val="00765C04"/>
    <w:rsid w:val="007728F6"/>
    <w:rsid w:val="00784A81"/>
    <w:rsid w:val="007906C9"/>
    <w:rsid w:val="007A3905"/>
    <w:rsid w:val="007A7B7F"/>
    <w:rsid w:val="007B41B4"/>
    <w:rsid w:val="007B5524"/>
    <w:rsid w:val="007B6972"/>
    <w:rsid w:val="007D15B7"/>
    <w:rsid w:val="007D18A3"/>
    <w:rsid w:val="007E182D"/>
    <w:rsid w:val="007E1DF0"/>
    <w:rsid w:val="007E7CC3"/>
    <w:rsid w:val="008115B4"/>
    <w:rsid w:val="00811943"/>
    <w:rsid w:val="00820D0F"/>
    <w:rsid w:val="00823169"/>
    <w:rsid w:val="00843B6E"/>
    <w:rsid w:val="008471BA"/>
    <w:rsid w:val="008507A7"/>
    <w:rsid w:val="00851C8B"/>
    <w:rsid w:val="00856CA7"/>
    <w:rsid w:val="00872AEA"/>
    <w:rsid w:val="00890192"/>
    <w:rsid w:val="008A04B6"/>
    <w:rsid w:val="008A5BD8"/>
    <w:rsid w:val="008A5D1C"/>
    <w:rsid w:val="008B5217"/>
    <w:rsid w:val="008B60B6"/>
    <w:rsid w:val="008C0904"/>
    <w:rsid w:val="008C4D97"/>
    <w:rsid w:val="008D5952"/>
    <w:rsid w:val="008E29B0"/>
    <w:rsid w:val="008E3839"/>
    <w:rsid w:val="008E7883"/>
    <w:rsid w:val="008F2DAF"/>
    <w:rsid w:val="00903B55"/>
    <w:rsid w:val="009055C5"/>
    <w:rsid w:val="00905C65"/>
    <w:rsid w:val="0090637E"/>
    <w:rsid w:val="0091510A"/>
    <w:rsid w:val="00915FEF"/>
    <w:rsid w:val="00916EAA"/>
    <w:rsid w:val="009205A0"/>
    <w:rsid w:val="00924262"/>
    <w:rsid w:val="00931EAB"/>
    <w:rsid w:val="00951FF1"/>
    <w:rsid w:val="0095521B"/>
    <w:rsid w:val="00962845"/>
    <w:rsid w:val="00965DEA"/>
    <w:rsid w:val="00967835"/>
    <w:rsid w:val="00970A6A"/>
    <w:rsid w:val="00971A11"/>
    <w:rsid w:val="00973D0E"/>
    <w:rsid w:val="00980DA9"/>
    <w:rsid w:val="00981D3E"/>
    <w:rsid w:val="00993C9B"/>
    <w:rsid w:val="009A7195"/>
    <w:rsid w:val="009B00C1"/>
    <w:rsid w:val="009B17D8"/>
    <w:rsid w:val="009D14CF"/>
    <w:rsid w:val="009D162E"/>
    <w:rsid w:val="009D4642"/>
    <w:rsid w:val="009D60D5"/>
    <w:rsid w:val="009D6264"/>
    <w:rsid w:val="009D7D19"/>
    <w:rsid w:val="009E5BA0"/>
    <w:rsid w:val="009F18D6"/>
    <w:rsid w:val="00A02AD7"/>
    <w:rsid w:val="00A04839"/>
    <w:rsid w:val="00A0604C"/>
    <w:rsid w:val="00A11FD7"/>
    <w:rsid w:val="00A12E95"/>
    <w:rsid w:val="00A22809"/>
    <w:rsid w:val="00A24642"/>
    <w:rsid w:val="00A24D52"/>
    <w:rsid w:val="00A319A4"/>
    <w:rsid w:val="00A31B83"/>
    <w:rsid w:val="00A37735"/>
    <w:rsid w:val="00A50A08"/>
    <w:rsid w:val="00A52811"/>
    <w:rsid w:val="00A6199A"/>
    <w:rsid w:val="00A62AD9"/>
    <w:rsid w:val="00A67EAD"/>
    <w:rsid w:val="00AA21D9"/>
    <w:rsid w:val="00AA4575"/>
    <w:rsid w:val="00AA4955"/>
    <w:rsid w:val="00AB6973"/>
    <w:rsid w:val="00AD7428"/>
    <w:rsid w:val="00AE104C"/>
    <w:rsid w:val="00AE4182"/>
    <w:rsid w:val="00AF431B"/>
    <w:rsid w:val="00AF5868"/>
    <w:rsid w:val="00B00826"/>
    <w:rsid w:val="00B0430B"/>
    <w:rsid w:val="00B14CC8"/>
    <w:rsid w:val="00B212B6"/>
    <w:rsid w:val="00B23295"/>
    <w:rsid w:val="00B23ACC"/>
    <w:rsid w:val="00B3157B"/>
    <w:rsid w:val="00B32E58"/>
    <w:rsid w:val="00B34632"/>
    <w:rsid w:val="00B43A8D"/>
    <w:rsid w:val="00B452B1"/>
    <w:rsid w:val="00B47D0D"/>
    <w:rsid w:val="00B64740"/>
    <w:rsid w:val="00B64C35"/>
    <w:rsid w:val="00B67DE6"/>
    <w:rsid w:val="00B81CD1"/>
    <w:rsid w:val="00B85CD8"/>
    <w:rsid w:val="00B94EE0"/>
    <w:rsid w:val="00BA1AC1"/>
    <w:rsid w:val="00BA5A0D"/>
    <w:rsid w:val="00BA5A4E"/>
    <w:rsid w:val="00BB0990"/>
    <w:rsid w:val="00BB3AEB"/>
    <w:rsid w:val="00BC06A7"/>
    <w:rsid w:val="00BC431A"/>
    <w:rsid w:val="00BD7D3D"/>
    <w:rsid w:val="00BE09FB"/>
    <w:rsid w:val="00BE1C49"/>
    <w:rsid w:val="00BE64E1"/>
    <w:rsid w:val="00BF4173"/>
    <w:rsid w:val="00BF73D8"/>
    <w:rsid w:val="00C00331"/>
    <w:rsid w:val="00C0400A"/>
    <w:rsid w:val="00C0740F"/>
    <w:rsid w:val="00C20D3A"/>
    <w:rsid w:val="00C221BC"/>
    <w:rsid w:val="00C3649B"/>
    <w:rsid w:val="00C41680"/>
    <w:rsid w:val="00C431E1"/>
    <w:rsid w:val="00C432A3"/>
    <w:rsid w:val="00C4396F"/>
    <w:rsid w:val="00C6308E"/>
    <w:rsid w:val="00C63112"/>
    <w:rsid w:val="00C6383C"/>
    <w:rsid w:val="00C6413C"/>
    <w:rsid w:val="00C7064A"/>
    <w:rsid w:val="00C7356B"/>
    <w:rsid w:val="00C854E7"/>
    <w:rsid w:val="00C876BE"/>
    <w:rsid w:val="00C94EED"/>
    <w:rsid w:val="00C97A4E"/>
    <w:rsid w:val="00C97AFF"/>
    <w:rsid w:val="00CA2570"/>
    <w:rsid w:val="00CB3203"/>
    <w:rsid w:val="00CB46AD"/>
    <w:rsid w:val="00CB55F6"/>
    <w:rsid w:val="00CC31C8"/>
    <w:rsid w:val="00CC7E46"/>
    <w:rsid w:val="00CD254A"/>
    <w:rsid w:val="00CE67B1"/>
    <w:rsid w:val="00CF14D9"/>
    <w:rsid w:val="00CF5C0D"/>
    <w:rsid w:val="00CF6134"/>
    <w:rsid w:val="00D0498D"/>
    <w:rsid w:val="00D1383A"/>
    <w:rsid w:val="00D178BE"/>
    <w:rsid w:val="00D26406"/>
    <w:rsid w:val="00D50572"/>
    <w:rsid w:val="00D60592"/>
    <w:rsid w:val="00D65037"/>
    <w:rsid w:val="00D72AD0"/>
    <w:rsid w:val="00D83A3B"/>
    <w:rsid w:val="00D872B2"/>
    <w:rsid w:val="00D9253A"/>
    <w:rsid w:val="00DA317E"/>
    <w:rsid w:val="00DB1736"/>
    <w:rsid w:val="00DB3D9C"/>
    <w:rsid w:val="00DC4910"/>
    <w:rsid w:val="00DE26FA"/>
    <w:rsid w:val="00DE7280"/>
    <w:rsid w:val="00DF2A4F"/>
    <w:rsid w:val="00DF67C3"/>
    <w:rsid w:val="00E10382"/>
    <w:rsid w:val="00E1324B"/>
    <w:rsid w:val="00E16AEB"/>
    <w:rsid w:val="00E4160F"/>
    <w:rsid w:val="00E6394B"/>
    <w:rsid w:val="00E67D10"/>
    <w:rsid w:val="00E73DA2"/>
    <w:rsid w:val="00E76B18"/>
    <w:rsid w:val="00E835FA"/>
    <w:rsid w:val="00E90A3A"/>
    <w:rsid w:val="00E941CD"/>
    <w:rsid w:val="00E97044"/>
    <w:rsid w:val="00EA3209"/>
    <w:rsid w:val="00EA4CE3"/>
    <w:rsid w:val="00EB2A73"/>
    <w:rsid w:val="00EB30FA"/>
    <w:rsid w:val="00EC27D2"/>
    <w:rsid w:val="00EE0680"/>
    <w:rsid w:val="00EE08BD"/>
    <w:rsid w:val="00EE11E7"/>
    <w:rsid w:val="00EE3023"/>
    <w:rsid w:val="00EE7BE9"/>
    <w:rsid w:val="00EF0B0F"/>
    <w:rsid w:val="00EF2FD0"/>
    <w:rsid w:val="00F00BED"/>
    <w:rsid w:val="00F02AD3"/>
    <w:rsid w:val="00F070B0"/>
    <w:rsid w:val="00F12763"/>
    <w:rsid w:val="00F13327"/>
    <w:rsid w:val="00F15393"/>
    <w:rsid w:val="00F17E4F"/>
    <w:rsid w:val="00F21D66"/>
    <w:rsid w:val="00F348BF"/>
    <w:rsid w:val="00F40BCB"/>
    <w:rsid w:val="00F51666"/>
    <w:rsid w:val="00F528BD"/>
    <w:rsid w:val="00F5643C"/>
    <w:rsid w:val="00F56F9A"/>
    <w:rsid w:val="00F74CA2"/>
    <w:rsid w:val="00F77A82"/>
    <w:rsid w:val="00F824B8"/>
    <w:rsid w:val="00F9662C"/>
    <w:rsid w:val="00F9748E"/>
    <w:rsid w:val="00FA33D2"/>
    <w:rsid w:val="00FC2CBA"/>
    <w:rsid w:val="00FC3C60"/>
    <w:rsid w:val="00FC682C"/>
    <w:rsid w:val="00FC7447"/>
    <w:rsid w:val="00FE1A79"/>
    <w:rsid w:val="00FE2DD0"/>
    <w:rsid w:val="00FE43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f" fillcolor="white" stroke="f">
      <v:fill color="white" opacity=".5"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FD0"/>
    <w:pPr>
      <w:spacing w:line="290" w:lineRule="atLeast"/>
    </w:pPr>
    <w:rPr>
      <w:rFonts w:ascii="Georgia" w:hAnsi="Georgia"/>
      <w:sz w:val="21"/>
    </w:rPr>
  </w:style>
  <w:style w:type="paragraph" w:styleId="Rubrik1">
    <w:name w:val="heading 1"/>
    <w:basedOn w:val="Normal"/>
    <w:next w:val="Brdtext"/>
    <w:qFormat/>
    <w:rsid w:val="00F5643C"/>
    <w:pPr>
      <w:keepNext/>
      <w:spacing w:before="240" w:after="240"/>
      <w:outlineLvl w:val="0"/>
    </w:pPr>
    <w:rPr>
      <w:rFonts w:ascii="Verdana" w:hAnsi="Verdana"/>
      <w:b/>
      <w:sz w:val="28"/>
    </w:rPr>
  </w:style>
  <w:style w:type="paragraph" w:styleId="Rubrik2">
    <w:name w:val="heading 2"/>
    <w:basedOn w:val="Normal"/>
    <w:next w:val="Brdtext"/>
    <w:qFormat/>
    <w:rsid w:val="00CC7E46"/>
    <w:pPr>
      <w:keepNext/>
      <w:spacing w:before="180"/>
      <w:outlineLvl w:val="1"/>
    </w:pPr>
    <w:rPr>
      <w:rFonts w:ascii="Verdana" w:hAnsi="Verdana"/>
      <w:b/>
      <w:sz w:val="24"/>
    </w:rPr>
  </w:style>
  <w:style w:type="paragraph" w:styleId="Rubrik3">
    <w:name w:val="heading 3"/>
    <w:basedOn w:val="Normal"/>
    <w:next w:val="Brdtext"/>
    <w:qFormat/>
    <w:rsid w:val="00CC7E46"/>
    <w:pPr>
      <w:keepNext/>
      <w:spacing w:before="120"/>
      <w:outlineLvl w:val="2"/>
    </w:pPr>
    <w:rPr>
      <w:b/>
    </w:rPr>
  </w:style>
  <w:style w:type="paragraph" w:styleId="Rubrik4">
    <w:name w:val="heading 4"/>
    <w:basedOn w:val="Normal"/>
    <w:next w:val="Brdtext"/>
    <w:qFormat/>
    <w:rsid w:val="00CC7E46"/>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CC7E46"/>
    <w:pPr>
      <w:spacing w:before="60" w:after="180"/>
    </w:pPr>
  </w:style>
  <w:style w:type="paragraph" w:customStyle="1" w:styleId="Dokumentrubrik">
    <w:name w:val="Dokumentrubrik"/>
    <w:basedOn w:val="Normal"/>
    <w:rsid w:val="005275BC"/>
    <w:rPr>
      <w:rFonts w:ascii="Verdana" w:hAnsi="Verdana"/>
      <w:b/>
      <w:sz w:val="24"/>
    </w:rPr>
  </w:style>
  <w:style w:type="paragraph" w:customStyle="1" w:styleId="Ledtext">
    <w:name w:val="Ledtext"/>
    <w:basedOn w:val="Normal"/>
    <w:next w:val="Flttext"/>
    <w:rsid w:val="00252AF1"/>
    <w:pPr>
      <w:spacing w:before="40" w:line="240" w:lineRule="auto"/>
    </w:pPr>
    <w:rPr>
      <w:sz w:val="18"/>
    </w:rPr>
  </w:style>
  <w:style w:type="paragraph" w:customStyle="1" w:styleId="Mallnummer">
    <w:name w:val="Mallnummer"/>
    <w:basedOn w:val="Normal"/>
    <w:rsid w:val="009205A0"/>
    <w:pPr>
      <w:spacing w:line="240" w:lineRule="auto"/>
    </w:pPr>
    <w:rPr>
      <w:rFonts w:ascii="Verdana" w:hAnsi="Verdana"/>
      <w:sz w:val="15"/>
    </w:rPr>
  </w:style>
  <w:style w:type="paragraph" w:styleId="Numreradlista">
    <w:name w:val="List Number"/>
    <w:basedOn w:val="Normal"/>
    <w:rsid w:val="00CC7E46"/>
    <w:pPr>
      <w:numPr>
        <w:numId w:val="7"/>
      </w:numPr>
      <w:spacing w:after="60"/>
    </w:pPr>
  </w:style>
  <w:style w:type="paragraph" w:styleId="Punktlista">
    <w:name w:val="List Bullet"/>
    <w:basedOn w:val="Normal"/>
    <w:autoRedefine/>
    <w:rsid w:val="00CC7E46"/>
    <w:pPr>
      <w:numPr>
        <w:numId w:val="16"/>
      </w:numPr>
      <w:spacing w:after="60"/>
    </w:pPr>
  </w:style>
  <w:style w:type="paragraph" w:customStyle="1" w:styleId="Rubrikitabell">
    <w:name w:val="Rubrik i tabell"/>
    <w:basedOn w:val="Normal"/>
    <w:rsid w:val="00252AF1"/>
    <w:pPr>
      <w:spacing w:before="60" w:after="60" w:line="240" w:lineRule="auto"/>
    </w:pPr>
    <w:rPr>
      <w:rFonts w:ascii="Verdana" w:hAnsi="Verdana"/>
      <w:b/>
      <w:sz w:val="18"/>
    </w:rPr>
  </w:style>
  <w:style w:type="table" w:styleId="Tabellrutnt">
    <w:name w:val="Table Grid"/>
    <w:basedOn w:val="Normaltabell"/>
    <w:rsid w:val="00FE4367"/>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fot">
    <w:name w:val="footer"/>
    <w:basedOn w:val="Normal"/>
    <w:rsid w:val="00FE4367"/>
    <w:pPr>
      <w:spacing w:before="40" w:line="240" w:lineRule="auto"/>
    </w:pPr>
    <w:rPr>
      <w:sz w:val="18"/>
    </w:rPr>
  </w:style>
  <w:style w:type="paragraph" w:styleId="Sidhuvud">
    <w:name w:val="header"/>
    <w:basedOn w:val="Normal"/>
    <w:rsid w:val="00FE4367"/>
    <w:pPr>
      <w:tabs>
        <w:tab w:val="center" w:pos="4536"/>
        <w:tab w:val="right" w:pos="9072"/>
      </w:tabs>
    </w:pPr>
  </w:style>
  <w:style w:type="paragraph" w:customStyle="1" w:styleId="Handlggare">
    <w:name w:val="Handläggare"/>
    <w:basedOn w:val="Flttext"/>
    <w:rsid w:val="00D872B2"/>
    <w:pPr>
      <w:spacing w:before="20"/>
    </w:pPr>
  </w:style>
  <w:style w:type="paragraph" w:customStyle="1" w:styleId="Sidnumrering">
    <w:name w:val="Sidnumrering"/>
    <w:basedOn w:val="Normal"/>
    <w:rsid w:val="00931EAB"/>
    <w:pPr>
      <w:jc w:val="right"/>
    </w:pPr>
    <w:rPr>
      <w:sz w:val="20"/>
    </w:rPr>
  </w:style>
  <w:style w:type="paragraph" w:customStyle="1" w:styleId="Smal">
    <w:name w:val="Smal"/>
    <w:basedOn w:val="Normal"/>
    <w:rsid w:val="00B0430B"/>
    <w:pPr>
      <w:spacing w:line="240" w:lineRule="auto"/>
    </w:pPr>
    <w:rPr>
      <w:sz w:val="2"/>
      <w:szCs w:val="2"/>
    </w:rPr>
  </w:style>
  <w:style w:type="paragraph" w:customStyle="1" w:styleId="Sndlista">
    <w:name w:val="Sändlista"/>
    <w:basedOn w:val="Normal"/>
    <w:next w:val="Normal"/>
    <w:rPr>
      <w:b/>
    </w:rPr>
  </w:style>
  <w:style w:type="paragraph" w:customStyle="1" w:styleId="Numrrubrik1">
    <w:name w:val="Numr rubrik 1"/>
    <w:basedOn w:val="Rubrik1"/>
    <w:next w:val="Brdtext"/>
    <w:rsid w:val="000F4E09"/>
    <w:pPr>
      <w:numPr>
        <w:numId w:val="11"/>
      </w:numPr>
    </w:pPr>
  </w:style>
  <w:style w:type="character" w:styleId="Hyperlnk">
    <w:name w:val="Hyperlink"/>
    <w:basedOn w:val="Standardstycketeckensnitt"/>
    <w:rPr>
      <w:color w:val="0000FF"/>
      <w:u w:val="single"/>
    </w:rPr>
  </w:style>
  <w:style w:type="paragraph" w:customStyle="1" w:styleId="Flttext">
    <w:name w:val="Fälttext"/>
    <w:basedOn w:val="Normal"/>
    <w:rsid w:val="00D872B2"/>
    <w:pPr>
      <w:spacing w:line="240" w:lineRule="auto"/>
    </w:pPr>
    <w:rPr>
      <w:snapToGrid w:val="0"/>
    </w:rPr>
  </w:style>
  <w:style w:type="paragraph" w:customStyle="1" w:styleId="Hjlptext">
    <w:name w:val="Hjälptext"/>
    <w:basedOn w:val="Brdtext"/>
    <w:rsid w:val="00327CB0"/>
    <w:rPr>
      <w:i/>
    </w:rPr>
  </w:style>
  <w:style w:type="paragraph" w:customStyle="1" w:styleId="Numrrubrik2">
    <w:name w:val="Numr rubrik 2"/>
    <w:basedOn w:val="Rubrik2"/>
    <w:next w:val="Brdtext"/>
    <w:rsid w:val="000F4E09"/>
    <w:pPr>
      <w:numPr>
        <w:ilvl w:val="1"/>
        <w:numId w:val="11"/>
      </w:numPr>
    </w:pPr>
  </w:style>
  <w:style w:type="paragraph" w:customStyle="1" w:styleId="Numrrubrik3">
    <w:name w:val="Numr rubrik 3"/>
    <w:basedOn w:val="Rubrik3"/>
    <w:next w:val="Brdtext"/>
    <w:rsid w:val="000F4E09"/>
    <w:pPr>
      <w:numPr>
        <w:ilvl w:val="2"/>
        <w:numId w:val="11"/>
      </w:numPr>
    </w:pPr>
  </w:style>
  <w:style w:type="paragraph" w:styleId="Rubrik">
    <w:name w:val="Title"/>
    <w:basedOn w:val="Normal"/>
    <w:next w:val="Normal"/>
    <w:link w:val="RubrikChar"/>
    <w:qFormat/>
    <w:rsid w:val="009B17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B17D8"/>
    <w:rPr>
      <w:rFonts w:asciiTheme="majorHAnsi" w:eastAsiaTheme="majorEastAsia" w:hAnsiTheme="majorHAnsi" w:cstheme="majorBidi"/>
      <w:color w:val="17365D" w:themeColor="text2" w:themeShade="BF"/>
      <w:spacing w:val="5"/>
      <w:kern w:val="28"/>
      <w:sz w:val="52"/>
      <w:szCs w:val="52"/>
    </w:rPr>
  </w:style>
  <w:style w:type="paragraph" w:styleId="Fotnotstext">
    <w:name w:val="footnote text"/>
    <w:basedOn w:val="Normal"/>
    <w:link w:val="FotnotstextChar"/>
    <w:rsid w:val="009D60D5"/>
    <w:pPr>
      <w:spacing w:line="240" w:lineRule="auto"/>
    </w:pPr>
    <w:rPr>
      <w:sz w:val="20"/>
    </w:rPr>
  </w:style>
  <w:style w:type="character" w:customStyle="1" w:styleId="FotnotstextChar">
    <w:name w:val="Fotnotstext Char"/>
    <w:basedOn w:val="Standardstycketeckensnitt"/>
    <w:link w:val="Fotnotstext"/>
    <w:rsid w:val="009D60D5"/>
    <w:rPr>
      <w:rFonts w:ascii="Georgia" w:hAnsi="Georgia"/>
    </w:rPr>
  </w:style>
  <w:style w:type="character" w:styleId="Fotnotsreferens">
    <w:name w:val="footnote reference"/>
    <w:basedOn w:val="Standardstycketeckensnitt"/>
    <w:rsid w:val="009D60D5"/>
    <w:rPr>
      <w:vertAlign w:val="superscript"/>
    </w:rPr>
  </w:style>
  <w:style w:type="paragraph" w:styleId="Liststycke">
    <w:name w:val="List Paragraph"/>
    <w:basedOn w:val="Normal"/>
    <w:uiPriority w:val="34"/>
    <w:qFormat/>
    <w:rsid w:val="00916EAA"/>
    <w:pPr>
      <w:ind w:left="720"/>
      <w:contextualSpacing/>
    </w:pPr>
  </w:style>
  <w:style w:type="paragraph" w:styleId="Ballongtext">
    <w:name w:val="Balloon Text"/>
    <w:basedOn w:val="Normal"/>
    <w:link w:val="BallongtextChar"/>
    <w:rsid w:val="00162D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62DC3"/>
    <w:rPr>
      <w:rFonts w:ascii="Tahoma" w:hAnsi="Tahoma" w:cs="Tahoma"/>
      <w:sz w:val="16"/>
      <w:szCs w:val="16"/>
    </w:rPr>
  </w:style>
  <w:style w:type="character" w:styleId="AnvndHyperlnk">
    <w:name w:val="FollowedHyperlink"/>
    <w:basedOn w:val="Standardstycketeckensnitt"/>
    <w:rsid w:val="00B94E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FD0"/>
    <w:pPr>
      <w:spacing w:line="290" w:lineRule="atLeast"/>
    </w:pPr>
    <w:rPr>
      <w:rFonts w:ascii="Georgia" w:hAnsi="Georgia"/>
      <w:sz w:val="21"/>
    </w:rPr>
  </w:style>
  <w:style w:type="paragraph" w:styleId="Rubrik1">
    <w:name w:val="heading 1"/>
    <w:basedOn w:val="Normal"/>
    <w:next w:val="Brdtext"/>
    <w:qFormat/>
    <w:rsid w:val="00F5643C"/>
    <w:pPr>
      <w:keepNext/>
      <w:spacing w:before="240" w:after="240"/>
      <w:outlineLvl w:val="0"/>
    </w:pPr>
    <w:rPr>
      <w:rFonts w:ascii="Verdana" w:hAnsi="Verdana"/>
      <w:b/>
      <w:sz w:val="28"/>
    </w:rPr>
  </w:style>
  <w:style w:type="paragraph" w:styleId="Rubrik2">
    <w:name w:val="heading 2"/>
    <w:basedOn w:val="Normal"/>
    <w:next w:val="Brdtext"/>
    <w:qFormat/>
    <w:rsid w:val="00CC7E46"/>
    <w:pPr>
      <w:keepNext/>
      <w:spacing w:before="180"/>
      <w:outlineLvl w:val="1"/>
    </w:pPr>
    <w:rPr>
      <w:rFonts w:ascii="Verdana" w:hAnsi="Verdana"/>
      <w:b/>
      <w:sz w:val="24"/>
    </w:rPr>
  </w:style>
  <w:style w:type="paragraph" w:styleId="Rubrik3">
    <w:name w:val="heading 3"/>
    <w:basedOn w:val="Normal"/>
    <w:next w:val="Brdtext"/>
    <w:qFormat/>
    <w:rsid w:val="00CC7E46"/>
    <w:pPr>
      <w:keepNext/>
      <w:spacing w:before="120"/>
      <w:outlineLvl w:val="2"/>
    </w:pPr>
    <w:rPr>
      <w:b/>
    </w:rPr>
  </w:style>
  <w:style w:type="paragraph" w:styleId="Rubrik4">
    <w:name w:val="heading 4"/>
    <w:basedOn w:val="Normal"/>
    <w:next w:val="Brdtext"/>
    <w:qFormat/>
    <w:rsid w:val="00CC7E46"/>
    <w:pPr>
      <w:keepNext/>
      <w:spacing w:before="120"/>
      <w:outlineLvl w:val="3"/>
    </w:pPr>
    <w:rPr>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CC7E46"/>
    <w:pPr>
      <w:spacing w:before="60" w:after="180"/>
    </w:pPr>
  </w:style>
  <w:style w:type="paragraph" w:customStyle="1" w:styleId="Dokumentrubrik">
    <w:name w:val="Dokumentrubrik"/>
    <w:basedOn w:val="Normal"/>
    <w:rsid w:val="005275BC"/>
    <w:rPr>
      <w:rFonts w:ascii="Verdana" w:hAnsi="Verdana"/>
      <w:b/>
      <w:sz w:val="24"/>
    </w:rPr>
  </w:style>
  <w:style w:type="paragraph" w:customStyle="1" w:styleId="Ledtext">
    <w:name w:val="Ledtext"/>
    <w:basedOn w:val="Normal"/>
    <w:next w:val="Flttext"/>
    <w:rsid w:val="00252AF1"/>
    <w:pPr>
      <w:spacing w:before="40" w:line="240" w:lineRule="auto"/>
    </w:pPr>
    <w:rPr>
      <w:sz w:val="18"/>
    </w:rPr>
  </w:style>
  <w:style w:type="paragraph" w:customStyle="1" w:styleId="Mallnummer">
    <w:name w:val="Mallnummer"/>
    <w:basedOn w:val="Normal"/>
    <w:rsid w:val="009205A0"/>
    <w:pPr>
      <w:spacing w:line="240" w:lineRule="auto"/>
    </w:pPr>
    <w:rPr>
      <w:rFonts w:ascii="Verdana" w:hAnsi="Verdana"/>
      <w:sz w:val="15"/>
    </w:rPr>
  </w:style>
  <w:style w:type="paragraph" w:styleId="Numreradlista">
    <w:name w:val="List Number"/>
    <w:basedOn w:val="Normal"/>
    <w:rsid w:val="00CC7E46"/>
    <w:pPr>
      <w:numPr>
        <w:numId w:val="7"/>
      </w:numPr>
      <w:spacing w:after="60"/>
    </w:pPr>
  </w:style>
  <w:style w:type="paragraph" w:styleId="Punktlista">
    <w:name w:val="List Bullet"/>
    <w:basedOn w:val="Normal"/>
    <w:autoRedefine/>
    <w:rsid w:val="00CC7E46"/>
    <w:pPr>
      <w:numPr>
        <w:numId w:val="16"/>
      </w:numPr>
      <w:spacing w:after="60"/>
    </w:pPr>
  </w:style>
  <w:style w:type="paragraph" w:customStyle="1" w:styleId="Rubrikitabell">
    <w:name w:val="Rubrik i tabell"/>
    <w:basedOn w:val="Normal"/>
    <w:rsid w:val="00252AF1"/>
    <w:pPr>
      <w:spacing w:before="60" w:after="60" w:line="240" w:lineRule="auto"/>
    </w:pPr>
    <w:rPr>
      <w:rFonts w:ascii="Verdana" w:hAnsi="Verdana"/>
      <w:b/>
      <w:sz w:val="18"/>
    </w:rPr>
  </w:style>
  <w:style w:type="table" w:styleId="Tabellrutnt">
    <w:name w:val="Table Grid"/>
    <w:basedOn w:val="Normaltabell"/>
    <w:rsid w:val="00FE4367"/>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Sidfot">
    <w:name w:val="footer"/>
    <w:basedOn w:val="Normal"/>
    <w:rsid w:val="00FE4367"/>
    <w:pPr>
      <w:spacing w:before="40" w:line="240" w:lineRule="auto"/>
    </w:pPr>
    <w:rPr>
      <w:sz w:val="18"/>
    </w:rPr>
  </w:style>
  <w:style w:type="paragraph" w:styleId="Sidhuvud">
    <w:name w:val="header"/>
    <w:basedOn w:val="Normal"/>
    <w:rsid w:val="00FE4367"/>
    <w:pPr>
      <w:tabs>
        <w:tab w:val="center" w:pos="4536"/>
        <w:tab w:val="right" w:pos="9072"/>
      </w:tabs>
    </w:pPr>
  </w:style>
  <w:style w:type="paragraph" w:customStyle="1" w:styleId="Handlggare">
    <w:name w:val="Handläggare"/>
    <w:basedOn w:val="Flttext"/>
    <w:rsid w:val="00D872B2"/>
    <w:pPr>
      <w:spacing w:before="20"/>
    </w:pPr>
  </w:style>
  <w:style w:type="paragraph" w:customStyle="1" w:styleId="Sidnumrering">
    <w:name w:val="Sidnumrering"/>
    <w:basedOn w:val="Normal"/>
    <w:rsid w:val="00931EAB"/>
    <w:pPr>
      <w:jc w:val="right"/>
    </w:pPr>
    <w:rPr>
      <w:sz w:val="20"/>
    </w:rPr>
  </w:style>
  <w:style w:type="paragraph" w:customStyle="1" w:styleId="Smal">
    <w:name w:val="Smal"/>
    <w:basedOn w:val="Normal"/>
    <w:rsid w:val="00B0430B"/>
    <w:pPr>
      <w:spacing w:line="240" w:lineRule="auto"/>
    </w:pPr>
    <w:rPr>
      <w:sz w:val="2"/>
      <w:szCs w:val="2"/>
    </w:rPr>
  </w:style>
  <w:style w:type="paragraph" w:customStyle="1" w:styleId="Sndlista">
    <w:name w:val="Sändlista"/>
    <w:basedOn w:val="Normal"/>
    <w:next w:val="Normal"/>
    <w:rPr>
      <w:b/>
    </w:rPr>
  </w:style>
  <w:style w:type="paragraph" w:customStyle="1" w:styleId="Numrrubrik1">
    <w:name w:val="Numr rubrik 1"/>
    <w:basedOn w:val="Rubrik1"/>
    <w:next w:val="Brdtext"/>
    <w:rsid w:val="000F4E09"/>
    <w:pPr>
      <w:numPr>
        <w:numId w:val="11"/>
      </w:numPr>
    </w:pPr>
  </w:style>
  <w:style w:type="character" w:styleId="Hyperlnk">
    <w:name w:val="Hyperlink"/>
    <w:basedOn w:val="Standardstycketeckensnitt"/>
    <w:rPr>
      <w:color w:val="0000FF"/>
      <w:u w:val="single"/>
    </w:rPr>
  </w:style>
  <w:style w:type="paragraph" w:customStyle="1" w:styleId="Flttext">
    <w:name w:val="Fälttext"/>
    <w:basedOn w:val="Normal"/>
    <w:rsid w:val="00D872B2"/>
    <w:pPr>
      <w:spacing w:line="240" w:lineRule="auto"/>
    </w:pPr>
    <w:rPr>
      <w:snapToGrid w:val="0"/>
    </w:rPr>
  </w:style>
  <w:style w:type="paragraph" w:customStyle="1" w:styleId="Hjlptext">
    <w:name w:val="Hjälptext"/>
    <w:basedOn w:val="Brdtext"/>
    <w:rsid w:val="00327CB0"/>
    <w:rPr>
      <w:i/>
    </w:rPr>
  </w:style>
  <w:style w:type="paragraph" w:customStyle="1" w:styleId="Numrrubrik2">
    <w:name w:val="Numr rubrik 2"/>
    <w:basedOn w:val="Rubrik2"/>
    <w:next w:val="Brdtext"/>
    <w:rsid w:val="000F4E09"/>
    <w:pPr>
      <w:numPr>
        <w:ilvl w:val="1"/>
        <w:numId w:val="11"/>
      </w:numPr>
    </w:pPr>
  </w:style>
  <w:style w:type="paragraph" w:customStyle="1" w:styleId="Numrrubrik3">
    <w:name w:val="Numr rubrik 3"/>
    <w:basedOn w:val="Rubrik3"/>
    <w:next w:val="Brdtext"/>
    <w:rsid w:val="000F4E09"/>
    <w:pPr>
      <w:numPr>
        <w:ilvl w:val="2"/>
        <w:numId w:val="11"/>
      </w:numPr>
    </w:pPr>
  </w:style>
  <w:style w:type="paragraph" w:styleId="Rubrik">
    <w:name w:val="Title"/>
    <w:basedOn w:val="Normal"/>
    <w:next w:val="Normal"/>
    <w:link w:val="RubrikChar"/>
    <w:qFormat/>
    <w:rsid w:val="009B17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9B17D8"/>
    <w:rPr>
      <w:rFonts w:asciiTheme="majorHAnsi" w:eastAsiaTheme="majorEastAsia" w:hAnsiTheme="majorHAnsi" w:cstheme="majorBidi"/>
      <w:color w:val="17365D" w:themeColor="text2" w:themeShade="BF"/>
      <w:spacing w:val="5"/>
      <w:kern w:val="28"/>
      <w:sz w:val="52"/>
      <w:szCs w:val="52"/>
    </w:rPr>
  </w:style>
  <w:style w:type="paragraph" w:styleId="Fotnotstext">
    <w:name w:val="footnote text"/>
    <w:basedOn w:val="Normal"/>
    <w:link w:val="FotnotstextChar"/>
    <w:rsid w:val="009D60D5"/>
    <w:pPr>
      <w:spacing w:line="240" w:lineRule="auto"/>
    </w:pPr>
    <w:rPr>
      <w:sz w:val="20"/>
    </w:rPr>
  </w:style>
  <w:style w:type="character" w:customStyle="1" w:styleId="FotnotstextChar">
    <w:name w:val="Fotnotstext Char"/>
    <w:basedOn w:val="Standardstycketeckensnitt"/>
    <w:link w:val="Fotnotstext"/>
    <w:rsid w:val="009D60D5"/>
    <w:rPr>
      <w:rFonts w:ascii="Georgia" w:hAnsi="Georgia"/>
    </w:rPr>
  </w:style>
  <w:style w:type="character" w:styleId="Fotnotsreferens">
    <w:name w:val="footnote reference"/>
    <w:basedOn w:val="Standardstycketeckensnitt"/>
    <w:rsid w:val="009D60D5"/>
    <w:rPr>
      <w:vertAlign w:val="superscript"/>
    </w:rPr>
  </w:style>
  <w:style w:type="paragraph" w:styleId="Liststycke">
    <w:name w:val="List Paragraph"/>
    <w:basedOn w:val="Normal"/>
    <w:uiPriority w:val="34"/>
    <w:qFormat/>
    <w:rsid w:val="00916EAA"/>
    <w:pPr>
      <w:ind w:left="720"/>
      <w:contextualSpacing/>
    </w:pPr>
  </w:style>
  <w:style w:type="paragraph" w:styleId="Ballongtext">
    <w:name w:val="Balloon Text"/>
    <w:basedOn w:val="Normal"/>
    <w:link w:val="BallongtextChar"/>
    <w:rsid w:val="00162DC3"/>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162DC3"/>
    <w:rPr>
      <w:rFonts w:ascii="Tahoma" w:hAnsi="Tahoma" w:cs="Tahoma"/>
      <w:sz w:val="16"/>
      <w:szCs w:val="16"/>
    </w:rPr>
  </w:style>
  <w:style w:type="character" w:styleId="AnvndHyperlnk">
    <w:name w:val="FollowedHyperlink"/>
    <w:basedOn w:val="Standardstycketeckensnitt"/>
    <w:rsid w:val="00B94E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sb.se/sv/Produkter--tjanster/Publikationer/Publikationer-fran-MSB/Summeringsregeln--tillampning-av-bilaga-1-till-forordning-2015236-om-atgarder-for-att-forebygga-och-begransa-foljderna-av-allvarliga-kemikalieolyck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sb.se/sv/Produkter--tjanster/Publikationer/Publikationer-fran-MSB/Summeringsregeln--tillampning-av-bilaga-1-till-forordning-2015236-om-atgarder-for-att-forebygga-och-begransa-foljderna-av-allvarliga-kemikalieolyck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eur-lex.europa.eu/LexUriServ/LexUriServ.do?uri=OJ:L:2008:353:0001:1355:sv:PDF"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msb.se/sv/Produkter--tjanster/Publikationer/Publikationer-fran-MSB/Summeringsregeln--tillampning-av-bilaga-1-till-forordning-2015236-om-atgarder-for-att-forebygga-och-begransa-foljderna-av-allvarliga-kemikalieolycko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sbdatalager.msb.local\officemallar\PM.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7677-E10E-4098-BCDF-44E622404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31</TotalTime>
  <Pages>9</Pages>
  <Words>2397</Words>
  <Characters>14335</Characters>
  <Application>Microsoft Office Word</Application>
  <DocSecurity>0</DocSecurity>
  <Lines>119</Lines>
  <Paragraphs>33</Paragraphs>
  <ScaleCrop>false</ScaleCrop>
  <HeadingPairs>
    <vt:vector size="2" baseType="variant">
      <vt:variant>
        <vt:lpstr>Rubrik</vt:lpstr>
      </vt:variant>
      <vt:variant>
        <vt:i4>1</vt:i4>
      </vt:variant>
    </vt:vector>
  </HeadingPairs>
  <TitlesOfParts>
    <vt:vector size="1" baseType="lpstr">
      <vt:lpstr>PM</vt:lpstr>
    </vt:vector>
  </TitlesOfParts>
  <Company>MSB</Company>
  <LinksUpToDate>false</LinksUpToDate>
  <CharactersWithSpaces>16699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Löfström Claes</dc:creator>
  <cp:lastModifiedBy>Andersson Marita</cp:lastModifiedBy>
  <cp:revision>11</cp:revision>
  <cp:lastPrinted>2015-12-15T06:56:00Z</cp:lastPrinted>
  <dcterms:created xsi:type="dcterms:W3CDTF">2015-12-14T09:58:00Z</dcterms:created>
  <dcterms:modified xsi:type="dcterms:W3CDTF">2015-12-15T07:35:00Z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nr">
    <vt:lpwstr>MSB-51.1</vt:lpwstr>
  </property>
  <property fmtid="{D5CDD505-2E9C-101B-9397-08002B2CF9AE}" pid="3" name="Mallagare">
    <vt:lpwstr>VS-SSÄK</vt:lpwstr>
  </property>
</Properties>
</file>